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after="469" w:afterLines="150" w:line="400" w:lineRule="exact"/>
        <w:jc w:val="center"/>
        <w:textAlignment w:val="auto"/>
        <w:rPr>
          <w:rFonts w:hint="eastAsia"/>
          <w:b/>
          <w:kern w:val="0"/>
          <w:sz w:val="32"/>
          <w:szCs w:val="32"/>
          <w:highlight w:val="none"/>
        </w:rPr>
      </w:pPr>
      <w:r>
        <w:rPr>
          <w:rFonts w:hint="eastAsia"/>
          <w:b/>
          <w:kern w:val="0"/>
          <w:sz w:val="32"/>
          <w:szCs w:val="32"/>
          <w:highlight w:val="none"/>
        </w:rPr>
        <w:t>本科教学质量报告</w:t>
      </w:r>
    </w:p>
    <w:p>
      <w:pPr>
        <w:spacing w:line="400" w:lineRule="exact"/>
        <w:ind w:firstLine="480" w:firstLineChars="200"/>
        <w:rPr>
          <w:rFonts w:ascii="宋体" w:hAnsi="宋体"/>
          <w:bCs/>
          <w:sz w:val="24"/>
          <w:szCs w:val="24"/>
        </w:rPr>
      </w:pPr>
      <w:r>
        <w:rPr>
          <w:rFonts w:hint="eastAsia" w:ascii="宋体" w:hAnsi="宋体"/>
          <w:bCs/>
          <w:sz w:val="24"/>
          <w:szCs w:val="24"/>
        </w:rPr>
        <w:t>一、本科教育基本情况</w:t>
      </w:r>
    </w:p>
    <w:p>
      <w:pPr>
        <w:spacing w:line="400" w:lineRule="exact"/>
        <w:ind w:firstLine="480" w:firstLineChars="200"/>
        <w:rPr>
          <w:rFonts w:hint="default" w:asciiTheme="minorEastAsia" w:hAnsiTheme="minorEastAsia" w:eastAsiaTheme="minorEastAsia"/>
          <w:bCs/>
          <w:sz w:val="24"/>
          <w:szCs w:val="24"/>
          <w:lang w:val="en-US"/>
        </w:rPr>
      </w:pPr>
      <w:r>
        <w:rPr>
          <w:rFonts w:hint="eastAsia" w:asciiTheme="minorEastAsia" w:hAnsiTheme="minorEastAsia" w:eastAsiaTheme="minorEastAsia"/>
          <w:bCs/>
          <w:sz w:val="24"/>
          <w:szCs w:val="24"/>
        </w:rPr>
        <w:t>从2012年起，</w:t>
      </w:r>
      <w:r>
        <w:rPr>
          <w:rFonts w:hint="eastAsia" w:asciiTheme="minorEastAsia" w:hAnsiTheme="minorEastAsia" w:eastAsiaTheme="minorEastAsia"/>
          <w:bCs/>
          <w:sz w:val="24"/>
          <w:szCs w:val="24"/>
          <w:lang w:eastAsia="zh-CN"/>
        </w:rPr>
        <w:t>与</w:t>
      </w:r>
      <w:r>
        <w:rPr>
          <w:rFonts w:hint="eastAsia" w:asciiTheme="minorEastAsia" w:hAnsiTheme="minorEastAsia" w:eastAsiaTheme="minorEastAsia"/>
          <w:bCs/>
          <w:sz w:val="24"/>
          <w:szCs w:val="24"/>
        </w:rPr>
        <w:t>天津工业大学机械工程及自动化（模具设计与制造方向，联合培养）专业</w:t>
      </w:r>
      <w:r>
        <w:rPr>
          <w:rFonts w:hint="eastAsia" w:asciiTheme="minorEastAsia" w:hAnsiTheme="minorEastAsia" w:eastAsiaTheme="minorEastAsia"/>
          <w:bCs/>
          <w:sz w:val="24"/>
          <w:szCs w:val="24"/>
          <w:lang w:eastAsia="zh-CN"/>
        </w:rPr>
        <w:t>联合开展本科</w:t>
      </w:r>
      <w:r>
        <w:rPr>
          <w:rFonts w:hint="eastAsia" w:asciiTheme="minorEastAsia" w:hAnsiTheme="minorEastAsia" w:eastAsiaTheme="minorEastAsia"/>
          <w:bCs/>
          <w:sz w:val="24"/>
          <w:szCs w:val="24"/>
        </w:rPr>
        <w:t>人才</w:t>
      </w:r>
      <w:r>
        <w:rPr>
          <w:rFonts w:hint="eastAsia" w:asciiTheme="minorEastAsia" w:hAnsiTheme="minorEastAsia" w:eastAsiaTheme="minorEastAsia"/>
          <w:bCs/>
          <w:sz w:val="24"/>
          <w:szCs w:val="24"/>
          <w:lang w:eastAsia="zh-CN"/>
        </w:rPr>
        <w:t>培养</w:t>
      </w:r>
      <w:r>
        <w:rPr>
          <w:rFonts w:hint="eastAsia" w:asciiTheme="minorEastAsia" w:hAnsiTheme="minorEastAsia" w:eastAsiaTheme="minorEastAsia"/>
          <w:bCs/>
          <w:sz w:val="24"/>
          <w:szCs w:val="24"/>
        </w:rPr>
        <w:t>。2013年根据教育部本科专业目录调整文件要求，2013级专业名称改为机械工程（模具设计与制造方向，联合培养）专业。2</w:t>
      </w:r>
      <w:r>
        <w:rPr>
          <w:rFonts w:asciiTheme="minorEastAsia" w:hAnsiTheme="minorEastAsia" w:eastAsiaTheme="minorEastAsia"/>
          <w:bCs/>
          <w:sz w:val="24"/>
          <w:szCs w:val="24"/>
        </w:rPr>
        <w:t>020</w:t>
      </w:r>
      <w:r>
        <w:rPr>
          <w:rFonts w:hint="eastAsia" w:asciiTheme="minorEastAsia" w:hAnsiTheme="minorEastAsia" w:eastAsiaTheme="minorEastAsia"/>
          <w:bCs/>
          <w:sz w:val="24"/>
          <w:szCs w:val="24"/>
        </w:rPr>
        <w:t>年起</w:t>
      </w:r>
      <w:r>
        <w:rPr>
          <w:rFonts w:hint="eastAsia" w:asciiTheme="minorEastAsia" w:hAnsiTheme="minorEastAsia" w:eastAsiaTheme="minorEastAsia"/>
          <w:bCs/>
          <w:sz w:val="24"/>
          <w:szCs w:val="24"/>
          <w:lang w:eastAsia="zh-CN"/>
        </w:rPr>
        <w:t>与</w:t>
      </w:r>
      <w:r>
        <w:rPr>
          <w:rFonts w:hint="eastAsia" w:asciiTheme="minorEastAsia" w:hAnsiTheme="minorEastAsia" w:eastAsiaTheme="minorEastAsia"/>
          <w:bCs/>
          <w:sz w:val="24"/>
          <w:szCs w:val="24"/>
        </w:rPr>
        <w:t>天津科技大学</w:t>
      </w:r>
      <w:r>
        <w:rPr>
          <w:rFonts w:hint="eastAsia" w:asciiTheme="minorEastAsia" w:hAnsiTheme="minorEastAsia" w:eastAsiaTheme="minorEastAsia"/>
          <w:bCs/>
          <w:sz w:val="24"/>
          <w:szCs w:val="24"/>
          <w:lang w:eastAsia="zh-CN"/>
        </w:rPr>
        <w:t>，</w:t>
      </w:r>
      <w:r>
        <w:rPr>
          <w:rFonts w:hint="eastAsia" w:asciiTheme="minorEastAsia" w:hAnsiTheme="minorEastAsia" w:eastAsiaTheme="minorEastAsia"/>
          <w:bCs/>
          <w:sz w:val="24"/>
          <w:szCs w:val="24"/>
          <w:lang w:val="en-US" w:eastAsia="zh-CN"/>
        </w:rPr>
        <w:t>2022年起与天津职业技术师范大学在</w:t>
      </w:r>
      <w:r>
        <w:rPr>
          <w:rFonts w:hint="eastAsia" w:asciiTheme="minorEastAsia" w:hAnsiTheme="minorEastAsia" w:eastAsiaTheme="minorEastAsia"/>
          <w:bCs/>
          <w:sz w:val="24"/>
          <w:szCs w:val="24"/>
        </w:rPr>
        <w:t>材料成型及控制工程（模具设计与制造）专业</w:t>
      </w:r>
      <w:r>
        <w:rPr>
          <w:rFonts w:hint="eastAsia" w:asciiTheme="minorEastAsia" w:hAnsiTheme="minorEastAsia" w:eastAsiaTheme="minorEastAsia"/>
          <w:bCs/>
          <w:sz w:val="24"/>
          <w:szCs w:val="24"/>
          <w:lang w:eastAsia="zh-CN"/>
        </w:rPr>
        <w:t>联合开展本科人才培养，</w:t>
      </w:r>
      <w:r>
        <w:rPr>
          <w:rFonts w:hint="eastAsia" w:ascii="宋体" w:hAnsi="宋体"/>
          <w:bCs/>
          <w:sz w:val="24"/>
          <w:szCs w:val="24"/>
          <w:lang w:eastAsia="zh-CN"/>
        </w:rPr>
        <w:t>详见表</w:t>
      </w:r>
      <w:r>
        <w:rPr>
          <w:rFonts w:hint="eastAsia" w:ascii="宋体" w:hAnsi="宋体"/>
          <w:bCs/>
          <w:sz w:val="24"/>
          <w:szCs w:val="24"/>
          <w:lang w:val="en-US" w:eastAsia="zh-CN"/>
        </w:rPr>
        <w:t>1。</w:t>
      </w:r>
      <w:r>
        <w:rPr>
          <w:rFonts w:hint="eastAsia" w:asciiTheme="minorEastAsia" w:hAnsiTheme="minorEastAsia" w:eastAsiaTheme="minorEastAsia"/>
          <w:bCs/>
          <w:sz w:val="24"/>
          <w:szCs w:val="24"/>
          <w:lang w:val="en-US" w:eastAsia="zh-CN"/>
        </w:rPr>
        <w:t>2018年起与天津中德应用技术大学</w:t>
      </w:r>
      <w:r>
        <w:rPr>
          <w:rFonts w:hint="eastAsia" w:ascii="宋体" w:hAnsi="宋体"/>
          <w:bCs/>
          <w:sz w:val="24"/>
          <w:szCs w:val="24"/>
        </w:rPr>
        <w:t>机械电子工程专业</w:t>
      </w:r>
      <w:r>
        <w:rPr>
          <w:rFonts w:hint="eastAsia" w:ascii="宋体" w:hAnsi="宋体"/>
          <w:bCs/>
          <w:sz w:val="24"/>
          <w:szCs w:val="24"/>
          <w:lang w:eastAsia="zh-CN"/>
        </w:rPr>
        <w:t>联合开展本科人才培养，详见</w:t>
      </w:r>
      <w:r>
        <w:rPr>
          <w:rFonts w:hint="eastAsia" w:ascii="宋体" w:hAnsi="宋体"/>
          <w:bCs/>
          <w:sz w:val="24"/>
          <w:szCs w:val="24"/>
          <w:lang w:val="en-US" w:eastAsia="zh-CN"/>
        </w:rPr>
        <w:t>表2</w:t>
      </w:r>
    </w:p>
    <w:p>
      <w:pPr>
        <w:spacing w:line="360" w:lineRule="auto"/>
        <w:ind w:firstLine="480" w:firstLineChars="20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 xml:space="preserve">表1  </w:t>
      </w:r>
      <w:r>
        <w:rPr>
          <w:rFonts w:hint="eastAsia" w:asciiTheme="minorEastAsia" w:hAnsiTheme="minorEastAsia" w:eastAsiaTheme="minorEastAsia"/>
          <w:bCs/>
          <w:sz w:val="24"/>
          <w:szCs w:val="24"/>
          <w:lang w:eastAsia="zh-CN"/>
        </w:rPr>
        <w:t>机械工程学院</w:t>
      </w:r>
      <w:r>
        <w:rPr>
          <w:rFonts w:hint="eastAsia" w:asciiTheme="minorEastAsia" w:hAnsiTheme="minorEastAsia" w:eastAsiaTheme="minorEastAsia"/>
          <w:bCs/>
          <w:sz w:val="24"/>
          <w:szCs w:val="24"/>
        </w:rPr>
        <w:t>联合培养本科情况统计</w:t>
      </w:r>
    </w:p>
    <w:tbl>
      <w:tblPr>
        <w:tblStyle w:val="13"/>
        <w:tblW w:w="7230" w:type="dxa"/>
        <w:jc w:val="center"/>
        <w:tblLayout w:type="fixed"/>
        <w:tblCellMar>
          <w:top w:w="0" w:type="dxa"/>
          <w:left w:w="108" w:type="dxa"/>
          <w:bottom w:w="0" w:type="dxa"/>
          <w:right w:w="108" w:type="dxa"/>
        </w:tblCellMar>
      </w:tblPr>
      <w:tblGrid>
        <w:gridCol w:w="993"/>
        <w:gridCol w:w="3345"/>
        <w:gridCol w:w="1049"/>
        <w:gridCol w:w="850"/>
        <w:gridCol w:w="993"/>
      </w:tblGrid>
      <w:tr>
        <w:tblPrEx>
          <w:tblCellMar>
            <w:top w:w="0" w:type="dxa"/>
            <w:left w:w="108" w:type="dxa"/>
            <w:bottom w:w="0" w:type="dxa"/>
            <w:right w:w="108" w:type="dxa"/>
          </w:tblCellMar>
        </w:tblPrEx>
        <w:trPr>
          <w:trHeight w:val="630" w:hRule="atLeast"/>
          <w:jc w:val="center"/>
        </w:trPr>
        <w:tc>
          <w:tcPr>
            <w:tcW w:w="993" w:type="dxa"/>
            <w:tcBorders>
              <w:top w:val="single" w:color="auto" w:sz="8" w:space="0"/>
              <w:left w:val="single" w:color="auto" w:sz="8" w:space="0"/>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年度</w:t>
            </w:r>
          </w:p>
        </w:tc>
        <w:tc>
          <w:tcPr>
            <w:tcW w:w="3345" w:type="dxa"/>
            <w:tcBorders>
              <w:top w:val="single" w:color="auto" w:sz="8" w:space="0"/>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班级</w:t>
            </w:r>
          </w:p>
        </w:tc>
        <w:tc>
          <w:tcPr>
            <w:tcW w:w="1049" w:type="dxa"/>
            <w:tcBorders>
              <w:top w:val="single" w:color="auto" w:sz="8" w:space="0"/>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计划招生数</w:t>
            </w:r>
          </w:p>
        </w:tc>
        <w:tc>
          <w:tcPr>
            <w:tcW w:w="850" w:type="dxa"/>
            <w:tcBorders>
              <w:top w:val="single" w:color="auto" w:sz="8" w:space="0"/>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录取数</w:t>
            </w:r>
          </w:p>
        </w:tc>
        <w:tc>
          <w:tcPr>
            <w:tcW w:w="993" w:type="dxa"/>
            <w:tcBorders>
              <w:top w:val="single" w:color="auto" w:sz="8" w:space="0"/>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实际报到数</w:t>
            </w:r>
          </w:p>
        </w:tc>
      </w:tr>
      <w:tr>
        <w:tblPrEx>
          <w:tblCellMar>
            <w:top w:w="0" w:type="dxa"/>
            <w:left w:w="108" w:type="dxa"/>
            <w:bottom w:w="0" w:type="dxa"/>
            <w:right w:w="108" w:type="dxa"/>
          </w:tblCellMar>
        </w:tblPrEx>
        <w:trPr>
          <w:trHeight w:val="912" w:hRule="atLeast"/>
          <w:jc w:val="center"/>
        </w:trPr>
        <w:tc>
          <w:tcPr>
            <w:tcW w:w="993" w:type="dxa"/>
            <w:tcBorders>
              <w:top w:val="nil"/>
              <w:left w:val="single" w:color="auto" w:sz="8" w:space="0"/>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2012</w:t>
            </w:r>
          </w:p>
        </w:tc>
        <w:tc>
          <w:tcPr>
            <w:tcW w:w="3345"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2012机械工程及自动化（模具设计与制造方向，联合培养）</w:t>
            </w:r>
          </w:p>
        </w:tc>
        <w:tc>
          <w:tcPr>
            <w:tcW w:w="1049"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40</w:t>
            </w:r>
          </w:p>
        </w:tc>
        <w:tc>
          <w:tcPr>
            <w:tcW w:w="850"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42</w:t>
            </w:r>
          </w:p>
        </w:tc>
        <w:tc>
          <w:tcPr>
            <w:tcW w:w="993"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42</w:t>
            </w:r>
          </w:p>
        </w:tc>
      </w:tr>
      <w:tr>
        <w:tblPrEx>
          <w:tblCellMar>
            <w:top w:w="0" w:type="dxa"/>
            <w:left w:w="108" w:type="dxa"/>
            <w:bottom w:w="0" w:type="dxa"/>
            <w:right w:w="108" w:type="dxa"/>
          </w:tblCellMar>
        </w:tblPrEx>
        <w:trPr>
          <w:trHeight w:val="540" w:hRule="atLeast"/>
          <w:jc w:val="center"/>
        </w:trPr>
        <w:tc>
          <w:tcPr>
            <w:tcW w:w="993" w:type="dxa"/>
            <w:tcBorders>
              <w:top w:val="nil"/>
              <w:left w:val="single" w:color="auto" w:sz="8" w:space="0"/>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2013</w:t>
            </w:r>
          </w:p>
        </w:tc>
        <w:tc>
          <w:tcPr>
            <w:tcW w:w="3345"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2013机械工程（模具设计与制造方向，联合培养）</w:t>
            </w:r>
          </w:p>
        </w:tc>
        <w:tc>
          <w:tcPr>
            <w:tcW w:w="1049"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40</w:t>
            </w:r>
          </w:p>
        </w:tc>
        <w:tc>
          <w:tcPr>
            <w:tcW w:w="850"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40</w:t>
            </w:r>
          </w:p>
        </w:tc>
        <w:tc>
          <w:tcPr>
            <w:tcW w:w="993"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40</w:t>
            </w:r>
          </w:p>
        </w:tc>
      </w:tr>
      <w:tr>
        <w:tblPrEx>
          <w:tblCellMar>
            <w:top w:w="0" w:type="dxa"/>
            <w:left w:w="108" w:type="dxa"/>
            <w:bottom w:w="0" w:type="dxa"/>
            <w:right w:w="108" w:type="dxa"/>
          </w:tblCellMar>
        </w:tblPrEx>
        <w:trPr>
          <w:trHeight w:val="540" w:hRule="atLeast"/>
          <w:jc w:val="center"/>
        </w:trPr>
        <w:tc>
          <w:tcPr>
            <w:tcW w:w="993" w:type="dxa"/>
            <w:tcBorders>
              <w:top w:val="nil"/>
              <w:left w:val="single" w:color="auto" w:sz="8" w:space="0"/>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2014</w:t>
            </w:r>
          </w:p>
        </w:tc>
        <w:tc>
          <w:tcPr>
            <w:tcW w:w="3345"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2014机械工程（模具设计与制造方向，联合培养）</w:t>
            </w:r>
          </w:p>
        </w:tc>
        <w:tc>
          <w:tcPr>
            <w:tcW w:w="1049"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40</w:t>
            </w:r>
          </w:p>
        </w:tc>
        <w:tc>
          <w:tcPr>
            <w:tcW w:w="850"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40</w:t>
            </w:r>
          </w:p>
        </w:tc>
        <w:tc>
          <w:tcPr>
            <w:tcW w:w="993"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39</w:t>
            </w:r>
          </w:p>
        </w:tc>
      </w:tr>
      <w:tr>
        <w:tblPrEx>
          <w:tblCellMar>
            <w:top w:w="0" w:type="dxa"/>
            <w:left w:w="108" w:type="dxa"/>
            <w:bottom w:w="0" w:type="dxa"/>
            <w:right w:w="108" w:type="dxa"/>
          </w:tblCellMar>
        </w:tblPrEx>
        <w:trPr>
          <w:trHeight w:val="540" w:hRule="atLeast"/>
          <w:jc w:val="center"/>
        </w:trPr>
        <w:tc>
          <w:tcPr>
            <w:tcW w:w="993" w:type="dxa"/>
            <w:tcBorders>
              <w:top w:val="nil"/>
              <w:left w:val="single" w:color="auto" w:sz="8" w:space="0"/>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2015</w:t>
            </w:r>
          </w:p>
        </w:tc>
        <w:tc>
          <w:tcPr>
            <w:tcW w:w="3345"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2015机械工程（模具设计与制造方向，联合培养）</w:t>
            </w:r>
          </w:p>
        </w:tc>
        <w:tc>
          <w:tcPr>
            <w:tcW w:w="1049"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40</w:t>
            </w:r>
          </w:p>
        </w:tc>
        <w:tc>
          <w:tcPr>
            <w:tcW w:w="850"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42</w:t>
            </w:r>
          </w:p>
        </w:tc>
        <w:tc>
          <w:tcPr>
            <w:tcW w:w="993"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41</w:t>
            </w:r>
          </w:p>
        </w:tc>
      </w:tr>
      <w:tr>
        <w:tblPrEx>
          <w:tblCellMar>
            <w:top w:w="0" w:type="dxa"/>
            <w:left w:w="108" w:type="dxa"/>
            <w:bottom w:w="0" w:type="dxa"/>
            <w:right w:w="108" w:type="dxa"/>
          </w:tblCellMar>
        </w:tblPrEx>
        <w:trPr>
          <w:trHeight w:val="540" w:hRule="atLeast"/>
          <w:jc w:val="center"/>
        </w:trPr>
        <w:tc>
          <w:tcPr>
            <w:tcW w:w="993" w:type="dxa"/>
            <w:tcBorders>
              <w:top w:val="nil"/>
              <w:left w:val="single" w:color="auto" w:sz="8" w:space="0"/>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2016</w:t>
            </w:r>
          </w:p>
        </w:tc>
        <w:tc>
          <w:tcPr>
            <w:tcW w:w="3345"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2016机械工程（模具设计与制造方向，联合培养）</w:t>
            </w:r>
          </w:p>
        </w:tc>
        <w:tc>
          <w:tcPr>
            <w:tcW w:w="1049"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40</w:t>
            </w:r>
          </w:p>
        </w:tc>
        <w:tc>
          <w:tcPr>
            <w:tcW w:w="850"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40</w:t>
            </w:r>
          </w:p>
        </w:tc>
        <w:tc>
          <w:tcPr>
            <w:tcW w:w="993"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39</w:t>
            </w:r>
          </w:p>
        </w:tc>
      </w:tr>
      <w:tr>
        <w:tblPrEx>
          <w:tblCellMar>
            <w:top w:w="0" w:type="dxa"/>
            <w:left w:w="108" w:type="dxa"/>
            <w:bottom w:w="0" w:type="dxa"/>
            <w:right w:w="108" w:type="dxa"/>
          </w:tblCellMar>
        </w:tblPrEx>
        <w:trPr>
          <w:trHeight w:val="540" w:hRule="atLeast"/>
          <w:jc w:val="center"/>
        </w:trPr>
        <w:tc>
          <w:tcPr>
            <w:tcW w:w="993" w:type="dxa"/>
            <w:tcBorders>
              <w:top w:val="nil"/>
              <w:left w:val="single" w:color="auto" w:sz="8" w:space="0"/>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2017</w:t>
            </w:r>
          </w:p>
        </w:tc>
        <w:tc>
          <w:tcPr>
            <w:tcW w:w="3345"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2017机械工程（模具设计与制造方向，联合培养）</w:t>
            </w:r>
          </w:p>
        </w:tc>
        <w:tc>
          <w:tcPr>
            <w:tcW w:w="1049"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40</w:t>
            </w:r>
          </w:p>
        </w:tc>
        <w:tc>
          <w:tcPr>
            <w:tcW w:w="850"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40</w:t>
            </w:r>
          </w:p>
        </w:tc>
        <w:tc>
          <w:tcPr>
            <w:tcW w:w="993"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40</w:t>
            </w:r>
          </w:p>
        </w:tc>
      </w:tr>
      <w:tr>
        <w:tblPrEx>
          <w:tblCellMar>
            <w:top w:w="0" w:type="dxa"/>
            <w:left w:w="108" w:type="dxa"/>
            <w:bottom w:w="0" w:type="dxa"/>
            <w:right w:w="108" w:type="dxa"/>
          </w:tblCellMar>
        </w:tblPrEx>
        <w:trPr>
          <w:trHeight w:val="720" w:hRule="atLeast"/>
          <w:jc w:val="center"/>
        </w:trPr>
        <w:tc>
          <w:tcPr>
            <w:tcW w:w="993" w:type="dxa"/>
            <w:tcBorders>
              <w:top w:val="nil"/>
              <w:left w:val="single" w:color="auto" w:sz="8" w:space="0"/>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2018</w:t>
            </w:r>
          </w:p>
        </w:tc>
        <w:tc>
          <w:tcPr>
            <w:tcW w:w="3345"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2018机械工程（模具设计与制造方向，联合培养）</w:t>
            </w:r>
          </w:p>
        </w:tc>
        <w:tc>
          <w:tcPr>
            <w:tcW w:w="1049"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40</w:t>
            </w:r>
          </w:p>
        </w:tc>
        <w:tc>
          <w:tcPr>
            <w:tcW w:w="850"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40</w:t>
            </w:r>
          </w:p>
        </w:tc>
        <w:tc>
          <w:tcPr>
            <w:tcW w:w="993"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40</w:t>
            </w:r>
          </w:p>
        </w:tc>
      </w:tr>
      <w:tr>
        <w:tblPrEx>
          <w:tblCellMar>
            <w:top w:w="0" w:type="dxa"/>
            <w:left w:w="108" w:type="dxa"/>
            <w:bottom w:w="0" w:type="dxa"/>
            <w:right w:w="108" w:type="dxa"/>
          </w:tblCellMar>
        </w:tblPrEx>
        <w:trPr>
          <w:trHeight w:val="555" w:hRule="atLeast"/>
          <w:jc w:val="center"/>
        </w:trPr>
        <w:tc>
          <w:tcPr>
            <w:tcW w:w="993" w:type="dxa"/>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w:t>
            </w:r>
            <w:r>
              <w:rPr>
                <w:rFonts w:cs="宋体" w:asciiTheme="minorEastAsia" w:hAnsiTheme="minorEastAsia" w:eastAsiaTheme="minorEastAsia"/>
                <w:kern w:val="0"/>
                <w:sz w:val="24"/>
                <w:szCs w:val="24"/>
              </w:rPr>
              <w:t>019</w:t>
            </w:r>
          </w:p>
        </w:tc>
        <w:tc>
          <w:tcPr>
            <w:tcW w:w="3345"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201</w:t>
            </w:r>
            <w:r>
              <w:rPr>
                <w:rFonts w:cs="宋体" w:asciiTheme="minorEastAsia" w:hAnsiTheme="minorEastAsia" w:eastAsiaTheme="minorEastAsia"/>
                <w:kern w:val="0"/>
                <w:sz w:val="24"/>
                <w:szCs w:val="24"/>
              </w:rPr>
              <w:t>9</w:t>
            </w:r>
            <w:r>
              <w:rPr>
                <w:rFonts w:hint="eastAsia" w:cs="宋体" w:asciiTheme="minorEastAsia" w:hAnsiTheme="minorEastAsia" w:eastAsiaTheme="minorEastAsia"/>
                <w:kern w:val="0"/>
                <w:sz w:val="24"/>
                <w:szCs w:val="24"/>
              </w:rPr>
              <w:t>机械工程（模具设计与制造方向，联合培养）</w:t>
            </w:r>
          </w:p>
        </w:tc>
        <w:tc>
          <w:tcPr>
            <w:tcW w:w="1049"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w:t>
            </w:r>
            <w:r>
              <w:rPr>
                <w:rFonts w:cs="宋体" w:asciiTheme="minorEastAsia" w:hAnsiTheme="minorEastAsia" w:eastAsiaTheme="minorEastAsia"/>
                <w:kern w:val="0"/>
                <w:sz w:val="24"/>
                <w:szCs w:val="24"/>
              </w:rPr>
              <w:t>0</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w:t>
            </w:r>
            <w:r>
              <w:rPr>
                <w:rFonts w:cs="宋体" w:asciiTheme="minorEastAsia" w:hAnsiTheme="minorEastAsia" w:eastAsiaTheme="minorEastAsia"/>
                <w:kern w:val="0"/>
                <w:sz w:val="24"/>
                <w:szCs w:val="24"/>
              </w:rPr>
              <w:t>7</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w:t>
            </w:r>
            <w:r>
              <w:rPr>
                <w:rFonts w:cs="宋体" w:asciiTheme="minorEastAsia" w:hAnsiTheme="minorEastAsia" w:eastAsiaTheme="minorEastAsia"/>
                <w:kern w:val="0"/>
                <w:sz w:val="24"/>
                <w:szCs w:val="24"/>
              </w:rPr>
              <w:t>7</w:t>
            </w:r>
          </w:p>
        </w:tc>
      </w:tr>
      <w:tr>
        <w:tblPrEx>
          <w:tblCellMar>
            <w:top w:w="0" w:type="dxa"/>
            <w:left w:w="108" w:type="dxa"/>
            <w:bottom w:w="0" w:type="dxa"/>
            <w:right w:w="108" w:type="dxa"/>
          </w:tblCellMar>
        </w:tblPrEx>
        <w:trPr>
          <w:trHeight w:val="555" w:hRule="atLeast"/>
          <w:jc w:val="center"/>
        </w:trPr>
        <w:tc>
          <w:tcPr>
            <w:tcW w:w="993" w:type="dxa"/>
            <w:tcBorders>
              <w:top w:val="single" w:color="auto" w:sz="4" w:space="0"/>
              <w:left w:val="single" w:color="auto" w:sz="8"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w:t>
            </w:r>
            <w:r>
              <w:rPr>
                <w:rFonts w:cs="宋体" w:asciiTheme="minorEastAsia" w:hAnsiTheme="minorEastAsia" w:eastAsiaTheme="minorEastAsia"/>
                <w:kern w:val="0"/>
                <w:sz w:val="24"/>
                <w:szCs w:val="24"/>
              </w:rPr>
              <w:t>020</w:t>
            </w:r>
          </w:p>
        </w:tc>
        <w:tc>
          <w:tcPr>
            <w:tcW w:w="33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w:t>
            </w:r>
            <w:r>
              <w:rPr>
                <w:rFonts w:cs="宋体" w:asciiTheme="minorEastAsia" w:hAnsiTheme="minorEastAsia" w:eastAsiaTheme="minorEastAsia"/>
                <w:kern w:val="0"/>
                <w:sz w:val="24"/>
                <w:szCs w:val="24"/>
              </w:rPr>
              <w:t>020</w:t>
            </w:r>
            <w:r>
              <w:rPr>
                <w:rFonts w:hint="eastAsia" w:cs="宋体" w:asciiTheme="minorEastAsia" w:hAnsiTheme="minorEastAsia" w:eastAsiaTheme="minorEastAsia"/>
                <w:kern w:val="0"/>
                <w:sz w:val="24"/>
                <w:szCs w:val="24"/>
              </w:rPr>
              <w:t>材料成型及控制工程（模具设计与制造）</w:t>
            </w:r>
          </w:p>
        </w:tc>
        <w:tc>
          <w:tcPr>
            <w:tcW w:w="104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w:t>
            </w:r>
            <w:r>
              <w:rPr>
                <w:rFonts w:cs="宋体" w:asciiTheme="minorEastAsia" w:hAnsiTheme="minorEastAsia" w:eastAsiaTheme="minorEastAsia"/>
                <w:kern w:val="0"/>
                <w:sz w:val="24"/>
                <w:szCs w:val="24"/>
              </w:rPr>
              <w:t>0</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w:t>
            </w:r>
            <w:r>
              <w:rPr>
                <w:rFonts w:cs="宋体" w:asciiTheme="minorEastAsia" w:hAnsiTheme="minorEastAsia" w:eastAsiaTheme="minorEastAsia"/>
                <w:kern w:val="0"/>
                <w:sz w:val="24"/>
                <w:szCs w:val="24"/>
              </w:rPr>
              <w:t>0</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w:t>
            </w:r>
            <w:r>
              <w:rPr>
                <w:rFonts w:cs="宋体" w:asciiTheme="minorEastAsia" w:hAnsiTheme="minorEastAsia" w:eastAsiaTheme="minorEastAsia"/>
                <w:kern w:val="0"/>
                <w:sz w:val="24"/>
                <w:szCs w:val="24"/>
              </w:rPr>
              <w:t>0</w:t>
            </w:r>
          </w:p>
        </w:tc>
      </w:tr>
      <w:tr>
        <w:tblPrEx>
          <w:tblCellMar>
            <w:top w:w="0" w:type="dxa"/>
            <w:left w:w="108" w:type="dxa"/>
            <w:bottom w:w="0" w:type="dxa"/>
            <w:right w:w="108" w:type="dxa"/>
          </w:tblCellMar>
        </w:tblPrEx>
        <w:trPr>
          <w:trHeight w:val="555" w:hRule="atLeast"/>
          <w:jc w:val="center"/>
        </w:trPr>
        <w:tc>
          <w:tcPr>
            <w:tcW w:w="993" w:type="dxa"/>
            <w:tcBorders>
              <w:top w:val="single" w:color="auto" w:sz="4" w:space="0"/>
              <w:left w:val="single" w:color="auto" w:sz="8" w:space="0"/>
              <w:bottom w:val="single" w:color="auto" w:sz="4" w:space="0"/>
              <w:right w:val="single" w:color="auto" w:sz="4" w:space="0"/>
            </w:tcBorders>
            <w:shd w:val="clear" w:color="auto" w:fill="auto"/>
            <w:noWrap/>
            <w:vAlign w:val="center"/>
          </w:tcPr>
          <w:p>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202</w:t>
            </w:r>
            <w:r>
              <w:rPr>
                <w:rFonts w:hint="eastAsia" w:cs="宋体" w:asciiTheme="minorEastAsia" w:hAnsiTheme="minorEastAsia" w:eastAsiaTheme="minorEastAsia"/>
                <w:kern w:val="0"/>
                <w:sz w:val="24"/>
                <w:szCs w:val="24"/>
                <w:lang w:val="en-US" w:eastAsia="zh-CN"/>
              </w:rPr>
              <w:t>1</w:t>
            </w:r>
          </w:p>
        </w:tc>
        <w:tc>
          <w:tcPr>
            <w:tcW w:w="33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202</w:t>
            </w:r>
            <w:r>
              <w:rPr>
                <w:rFonts w:hint="eastAsia" w:cs="宋体" w:asciiTheme="minorEastAsia" w:hAnsiTheme="minorEastAsia" w:eastAsiaTheme="minorEastAsia"/>
                <w:kern w:val="0"/>
                <w:sz w:val="24"/>
                <w:szCs w:val="24"/>
                <w:lang w:val="en-US" w:eastAsia="zh-CN"/>
              </w:rPr>
              <w:t>1</w:t>
            </w:r>
            <w:r>
              <w:rPr>
                <w:rFonts w:hint="eastAsia" w:cs="宋体" w:asciiTheme="minorEastAsia" w:hAnsiTheme="minorEastAsia" w:eastAsiaTheme="minorEastAsia"/>
                <w:kern w:val="0"/>
                <w:sz w:val="24"/>
                <w:szCs w:val="24"/>
              </w:rPr>
              <w:t>材料成型及控制工程（模具设计与制造）</w:t>
            </w:r>
          </w:p>
        </w:tc>
        <w:tc>
          <w:tcPr>
            <w:tcW w:w="104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lang w:val="en-US" w:eastAsia="zh-CN"/>
              </w:rPr>
              <w:t>3</w:t>
            </w:r>
            <w:r>
              <w:rPr>
                <w:rFonts w:hint="eastAsia" w:cs="宋体" w:asciiTheme="minorEastAsia" w:hAnsiTheme="minorEastAsia" w:eastAsiaTheme="minorEastAsia"/>
                <w:kern w:val="0"/>
                <w:sz w:val="24"/>
                <w:szCs w:val="24"/>
              </w:rPr>
              <w:t>0</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lang w:val="en-US" w:eastAsia="zh-CN"/>
              </w:rPr>
              <w:t>3</w:t>
            </w:r>
            <w:r>
              <w:rPr>
                <w:rFonts w:hint="eastAsia" w:cs="宋体" w:asciiTheme="minorEastAsia" w:hAnsiTheme="minorEastAsia" w:eastAsiaTheme="minorEastAsia"/>
                <w:kern w:val="0"/>
                <w:sz w:val="24"/>
                <w:szCs w:val="24"/>
              </w:rPr>
              <w:t>0</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lang w:val="en-US" w:eastAsia="zh-CN"/>
              </w:rPr>
              <w:t>3</w:t>
            </w:r>
            <w:r>
              <w:rPr>
                <w:rFonts w:hint="eastAsia" w:cs="宋体" w:asciiTheme="minorEastAsia" w:hAnsiTheme="minorEastAsia" w:eastAsiaTheme="minorEastAsia"/>
                <w:kern w:val="0"/>
                <w:sz w:val="24"/>
                <w:szCs w:val="24"/>
              </w:rPr>
              <w:t>0</w:t>
            </w:r>
          </w:p>
        </w:tc>
      </w:tr>
      <w:tr>
        <w:tblPrEx>
          <w:tblCellMar>
            <w:top w:w="0" w:type="dxa"/>
            <w:left w:w="108" w:type="dxa"/>
            <w:bottom w:w="0" w:type="dxa"/>
            <w:right w:w="108" w:type="dxa"/>
          </w:tblCellMar>
        </w:tblPrEx>
        <w:trPr>
          <w:trHeight w:val="555" w:hRule="atLeast"/>
          <w:jc w:val="center"/>
        </w:trPr>
        <w:tc>
          <w:tcPr>
            <w:tcW w:w="993" w:type="dxa"/>
            <w:tcBorders>
              <w:top w:val="single" w:color="auto" w:sz="4" w:space="0"/>
              <w:left w:val="single" w:color="auto" w:sz="8" w:space="0"/>
              <w:bottom w:val="single" w:color="auto" w:sz="4" w:space="0"/>
              <w:right w:val="single" w:color="auto" w:sz="4" w:space="0"/>
            </w:tcBorders>
            <w:shd w:val="clear" w:color="auto" w:fill="auto"/>
            <w:noWrap/>
            <w:vAlign w:val="center"/>
          </w:tcPr>
          <w:p>
            <w:pPr>
              <w:widowControl/>
              <w:jc w:val="center"/>
              <w:rPr>
                <w:rFonts w:hint="eastAsia"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rPr>
              <w:t>202</w:t>
            </w:r>
            <w:r>
              <w:rPr>
                <w:rFonts w:hint="eastAsia" w:cs="宋体" w:asciiTheme="minorEastAsia" w:hAnsiTheme="minorEastAsia" w:eastAsiaTheme="minorEastAsia"/>
                <w:kern w:val="0"/>
                <w:sz w:val="24"/>
                <w:szCs w:val="24"/>
                <w:lang w:val="en-US" w:eastAsia="zh-CN"/>
              </w:rPr>
              <w:t>2</w:t>
            </w:r>
          </w:p>
        </w:tc>
        <w:tc>
          <w:tcPr>
            <w:tcW w:w="33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rPr>
              <w:t>202</w:t>
            </w:r>
            <w:r>
              <w:rPr>
                <w:rFonts w:hint="eastAsia" w:cs="宋体" w:asciiTheme="minorEastAsia" w:hAnsiTheme="minorEastAsia" w:eastAsiaTheme="minorEastAsia"/>
                <w:kern w:val="0"/>
                <w:sz w:val="24"/>
                <w:szCs w:val="24"/>
                <w:lang w:val="en-US" w:eastAsia="zh-CN"/>
              </w:rPr>
              <w:t>2</w:t>
            </w:r>
            <w:r>
              <w:rPr>
                <w:rFonts w:hint="eastAsia" w:cs="宋体" w:asciiTheme="minorEastAsia" w:hAnsiTheme="minorEastAsia" w:eastAsiaTheme="minorEastAsia"/>
                <w:kern w:val="0"/>
                <w:sz w:val="24"/>
                <w:szCs w:val="24"/>
              </w:rPr>
              <w:t>材料成型及控制工程（模具设计与制造）</w:t>
            </w:r>
          </w:p>
        </w:tc>
        <w:tc>
          <w:tcPr>
            <w:tcW w:w="104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lang w:val="en-US" w:eastAsia="zh-CN"/>
              </w:rPr>
              <w:t>3</w:t>
            </w:r>
            <w:r>
              <w:rPr>
                <w:rFonts w:hint="eastAsia" w:cs="宋体" w:asciiTheme="minorEastAsia" w:hAnsiTheme="minorEastAsia" w:eastAsiaTheme="minorEastAsia"/>
                <w:kern w:val="0"/>
                <w:sz w:val="24"/>
                <w:szCs w:val="24"/>
              </w:rPr>
              <w:t>0</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lang w:val="en-US" w:eastAsia="zh-CN"/>
              </w:rPr>
              <w:t>3</w:t>
            </w:r>
            <w:r>
              <w:rPr>
                <w:rFonts w:hint="eastAsia" w:cs="宋体" w:asciiTheme="minorEastAsia" w:hAnsiTheme="minorEastAsia" w:eastAsiaTheme="minorEastAsia"/>
                <w:kern w:val="0"/>
                <w:sz w:val="24"/>
                <w:szCs w:val="24"/>
              </w:rPr>
              <w:t>0</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lang w:val="en-US" w:eastAsia="zh-CN"/>
              </w:rPr>
              <w:t>3</w:t>
            </w:r>
            <w:r>
              <w:rPr>
                <w:rFonts w:hint="eastAsia" w:cs="宋体" w:asciiTheme="minorEastAsia" w:hAnsiTheme="minorEastAsia" w:eastAsiaTheme="minorEastAsia"/>
                <w:kern w:val="0"/>
                <w:sz w:val="24"/>
                <w:szCs w:val="24"/>
              </w:rPr>
              <w:t>0</w:t>
            </w:r>
          </w:p>
        </w:tc>
      </w:tr>
      <w:tr>
        <w:tblPrEx>
          <w:tblCellMar>
            <w:top w:w="0" w:type="dxa"/>
            <w:left w:w="108" w:type="dxa"/>
            <w:bottom w:w="0" w:type="dxa"/>
            <w:right w:w="108" w:type="dxa"/>
          </w:tblCellMar>
        </w:tblPrEx>
        <w:trPr>
          <w:trHeight w:val="555" w:hRule="atLeast"/>
          <w:jc w:val="center"/>
        </w:trPr>
        <w:tc>
          <w:tcPr>
            <w:tcW w:w="993" w:type="dxa"/>
            <w:tcBorders>
              <w:top w:val="single" w:color="auto" w:sz="4" w:space="0"/>
              <w:left w:val="single" w:color="auto" w:sz="8" w:space="0"/>
              <w:bottom w:val="single" w:color="auto" w:sz="8" w:space="0"/>
              <w:right w:val="single" w:color="auto" w:sz="4" w:space="0"/>
            </w:tcBorders>
            <w:shd w:val="clear" w:color="auto" w:fill="auto"/>
            <w:noWrap/>
            <w:vAlign w:val="center"/>
          </w:tcPr>
          <w:p>
            <w:pPr>
              <w:widowControl/>
              <w:jc w:val="center"/>
              <w:rPr>
                <w:rFonts w:hint="eastAsia"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rPr>
              <w:t>202</w:t>
            </w:r>
            <w:r>
              <w:rPr>
                <w:rFonts w:hint="eastAsia" w:cs="宋体" w:asciiTheme="minorEastAsia" w:hAnsiTheme="minorEastAsia" w:eastAsiaTheme="minorEastAsia"/>
                <w:kern w:val="0"/>
                <w:sz w:val="24"/>
                <w:szCs w:val="24"/>
                <w:lang w:val="en-US" w:eastAsia="zh-CN"/>
              </w:rPr>
              <w:t>3</w:t>
            </w:r>
          </w:p>
        </w:tc>
        <w:tc>
          <w:tcPr>
            <w:tcW w:w="3345" w:type="dxa"/>
            <w:tcBorders>
              <w:top w:val="single" w:color="auto" w:sz="4" w:space="0"/>
              <w:left w:val="nil"/>
              <w:bottom w:val="single" w:color="auto" w:sz="8"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rPr>
              <w:t>202</w:t>
            </w:r>
            <w:r>
              <w:rPr>
                <w:rFonts w:hint="eastAsia" w:cs="宋体" w:asciiTheme="minorEastAsia" w:hAnsiTheme="minorEastAsia" w:eastAsiaTheme="minorEastAsia"/>
                <w:kern w:val="0"/>
                <w:sz w:val="24"/>
                <w:szCs w:val="24"/>
                <w:lang w:val="en-US" w:eastAsia="zh-CN"/>
              </w:rPr>
              <w:t>3</w:t>
            </w:r>
            <w:r>
              <w:rPr>
                <w:rFonts w:hint="eastAsia" w:cs="宋体" w:asciiTheme="minorEastAsia" w:hAnsiTheme="minorEastAsia" w:eastAsiaTheme="minorEastAsia"/>
                <w:kern w:val="0"/>
                <w:sz w:val="24"/>
                <w:szCs w:val="24"/>
              </w:rPr>
              <w:t>材料成型及控制工程（模具设计与制造）</w:t>
            </w:r>
          </w:p>
        </w:tc>
        <w:tc>
          <w:tcPr>
            <w:tcW w:w="1049" w:type="dxa"/>
            <w:tcBorders>
              <w:top w:val="single" w:color="auto" w:sz="4" w:space="0"/>
              <w:left w:val="nil"/>
              <w:bottom w:val="single" w:color="auto" w:sz="8" w:space="0"/>
              <w:right w:val="single" w:color="auto" w:sz="4" w:space="0"/>
            </w:tcBorders>
            <w:shd w:val="clear" w:color="auto" w:fill="auto"/>
            <w:noWrap/>
            <w:vAlign w:val="center"/>
          </w:tcPr>
          <w:p>
            <w:pPr>
              <w:widowControl/>
              <w:jc w:val="center"/>
              <w:rPr>
                <w:rFonts w:hint="eastAsia"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lang w:val="en-US" w:eastAsia="zh-CN"/>
              </w:rPr>
              <w:t>3</w:t>
            </w:r>
            <w:r>
              <w:rPr>
                <w:rFonts w:hint="eastAsia" w:cs="宋体" w:asciiTheme="minorEastAsia" w:hAnsiTheme="minorEastAsia" w:eastAsiaTheme="minorEastAsia"/>
                <w:kern w:val="0"/>
                <w:sz w:val="24"/>
                <w:szCs w:val="24"/>
              </w:rPr>
              <w:t>0</w:t>
            </w:r>
          </w:p>
        </w:tc>
        <w:tc>
          <w:tcPr>
            <w:tcW w:w="850" w:type="dxa"/>
            <w:tcBorders>
              <w:top w:val="single" w:color="auto" w:sz="4" w:space="0"/>
              <w:left w:val="nil"/>
              <w:bottom w:val="single" w:color="auto" w:sz="8" w:space="0"/>
              <w:right w:val="single" w:color="auto" w:sz="4" w:space="0"/>
            </w:tcBorders>
            <w:shd w:val="clear" w:color="auto" w:fill="auto"/>
            <w:noWrap/>
            <w:vAlign w:val="center"/>
          </w:tcPr>
          <w:p>
            <w:pPr>
              <w:widowControl/>
              <w:jc w:val="center"/>
              <w:rPr>
                <w:rFonts w:hint="eastAsia"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lang w:val="en-US" w:eastAsia="zh-CN"/>
              </w:rPr>
              <w:t>3</w:t>
            </w:r>
            <w:r>
              <w:rPr>
                <w:rFonts w:hint="eastAsia" w:cs="宋体" w:asciiTheme="minorEastAsia" w:hAnsiTheme="minorEastAsia" w:eastAsiaTheme="minorEastAsia"/>
                <w:kern w:val="0"/>
                <w:sz w:val="24"/>
                <w:szCs w:val="24"/>
              </w:rPr>
              <w:t>0</w:t>
            </w:r>
          </w:p>
        </w:tc>
        <w:tc>
          <w:tcPr>
            <w:tcW w:w="993" w:type="dxa"/>
            <w:tcBorders>
              <w:top w:val="single" w:color="auto" w:sz="4" w:space="0"/>
              <w:left w:val="nil"/>
              <w:bottom w:val="single" w:color="auto" w:sz="8" w:space="0"/>
              <w:right w:val="single" w:color="auto" w:sz="4" w:space="0"/>
            </w:tcBorders>
            <w:shd w:val="clear" w:color="auto" w:fill="auto"/>
            <w:noWrap/>
            <w:vAlign w:val="center"/>
          </w:tcPr>
          <w:p>
            <w:pPr>
              <w:widowControl/>
              <w:jc w:val="center"/>
              <w:rPr>
                <w:rFonts w:hint="eastAsia"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lang w:val="en-US" w:eastAsia="zh-CN"/>
              </w:rPr>
              <w:t>3</w:t>
            </w:r>
            <w:r>
              <w:rPr>
                <w:rFonts w:hint="eastAsia" w:cs="宋体" w:asciiTheme="minorEastAsia" w:hAnsiTheme="minorEastAsia" w:eastAsiaTheme="minorEastAsia"/>
                <w:kern w:val="0"/>
                <w:sz w:val="24"/>
                <w:szCs w:val="24"/>
              </w:rPr>
              <w:t>0</w:t>
            </w:r>
          </w:p>
        </w:tc>
      </w:tr>
    </w:tbl>
    <w:p>
      <w:pPr>
        <w:spacing w:line="400" w:lineRule="exact"/>
        <w:ind w:firstLine="480" w:firstLineChars="200"/>
        <w:rPr>
          <w:rFonts w:hint="eastAsia" w:ascii="宋体" w:hAnsi="宋体"/>
          <w:bCs/>
          <w:sz w:val="24"/>
          <w:szCs w:val="24"/>
        </w:rPr>
      </w:pPr>
    </w:p>
    <w:p>
      <w:pPr>
        <w:spacing w:line="360" w:lineRule="auto"/>
        <w:ind w:firstLine="480" w:firstLineChars="200"/>
        <w:jc w:val="center"/>
        <w:rPr>
          <w:rFonts w:hint="eastAsia" w:asciiTheme="minorEastAsia" w:hAnsiTheme="minorEastAsia" w:eastAsiaTheme="minorEastAsia"/>
          <w:bCs/>
          <w:sz w:val="24"/>
          <w:szCs w:val="24"/>
        </w:rPr>
      </w:pPr>
      <w:r>
        <w:rPr>
          <w:rFonts w:hint="eastAsia" w:asciiTheme="minorEastAsia" w:hAnsiTheme="minorEastAsia" w:eastAsiaTheme="minorEastAsia"/>
          <w:bCs/>
          <w:sz w:val="24"/>
          <w:szCs w:val="24"/>
        </w:rPr>
        <w:t>表</w:t>
      </w:r>
      <w:r>
        <w:rPr>
          <w:rFonts w:hint="eastAsia" w:asciiTheme="minorEastAsia" w:hAnsiTheme="minorEastAsia" w:eastAsiaTheme="minorEastAsia"/>
          <w:bCs/>
          <w:sz w:val="24"/>
          <w:szCs w:val="24"/>
          <w:lang w:val="en-US" w:eastAsia="zh-CN"/>
        </w:rPr>
        <w:t>2</w:t>
      </w:r>
      <w:r>
        <w:rPr>
          <w:rFonts w:hint="eastAsia" w:asciiTheme="minorEastAsia" w:hAnsiTheme="minorEastAsia" w:eastAsiaTheme="minorEastAsia"/>
          <w:bCs/>
          <w:sz w:val="24"/>
          <w:szCs w:val="24"/>
        </w:rPr>
        <w:t xml:space="preserve">  </w:t>
      </w:r>
      <w:r>
        <w:rPr>
          <w:rFonts w:hint="eastAsia" w:asciiTheme="minorEastAsia" w:hAnsiTheme="minorEastAsia" w:eastAsiaTheme="minorEastAsia"/>
          <w:bCs/>
          <w:sz w:val="24"/>
          <w:szCs w:val="24"/>
          <w:lang w:eastAsia="zh-CN"/>
        </w:rPr>
        <w:t>电子信息与自动化学院</w:t>
      </w:r>
      <w:r>
        <w:rPr>
          <w:rFonts w:hint="eastAsia" w:asciiTheme="minorEastAsia" w:hAnsiTheme="minorEastAsia" w:eastAsiaTheme="minorEastAsia"/>
          <w:bCs/>
          <w:sz w:val="24"/>
          <w:szCs w:val="24"/>
        </w:rPr>
        <w:t>联合培养本科情况统计</w:t>
      </w:r>
    </w:p>
    <w:tbl>
      <w:tblPr>
        <w:tblStyle w:val="14"/>
        <w:tblW w:w="7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3331"/>
        <w:gridCol w:w="1032"/>
        <w:gridCol w:w="867"/>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vAlign w:val="center"/>
          </w:tcPr>
          <w:p>
            <w:pPr>
              <w:widowControl/>
              <w:spacing w:line="240" w:lineRule="auto"/>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年度</w:t>
            </w:r>
          </w:p>
        </w:tc>
        <w:tc>
          <w:tcPr>
            <w:tcW w:w="3331" w:type="dxa"/>
            <w:vAlign w:val="center"/>
          </w:tcPr>
          <w:p>
            <w:pPr>
              <w:widowControl/>
              <w:spacing w:line="240" w:lineRule="auto"/>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班级</w:t>
            </w:r>
          </w:p>
        </w:tc>
        <w:tc>
          <w:tcPr>
            <w:tcW w:w="1032" w:type="dxa"/>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计划招生数</w:t>
            </w:r>
          </w:p>
        </w:tc>
        <w:tc>
          <w:tcPr>
            <w:tcW w:w="867" w:type="dxa"/>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录取数</w:t>
            </w:r>
          </w:p>
        </w:tc>
        <w:tc>
          <w:tcPr>
            <w:tcW w:w="1013" w:type="dxa"/>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实际报到数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vAlign w:val="center"/>
          </w:tcPr>
          <w:p>
            <w:pPr>
              <w:widowControl/>
              <w:spacing w:line="240" w:lineRule="auto"/>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2018</w:t>
            </w:r>
          </w:p>
        </w:tc>
        <w:tc>
          <w:tcPr>
            <w:tcW w:w="3331" w:type="dxa"/>
            <w:vAlign w:val="center"/>
          </w:tcPr>
          <w:p>
            <w:pPr>
              <w:widowControl/>
              <w:spacing w:line="240" w:lineRule="auto"/>
              <w:jc w:val="center"/>
              <w:rPr>
                <w:rFonts w:hint="eastAsia"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rPr>
              <w:t>机械电子工程</w:t>
            </w:r>
            <w:r>
              <w:rPr>
                <w:rFonts w:hint="eastAsia" w:cs="宋体" w:asciiTheme="minorEastAsia" w:hAnsiTheme="minorEastAsia" w:eastAsiaTheme="minorEastAsia"/>
                <w:kern w:val="0"/>
                <w:sz w:val="24"/>
                <w:szCs w:val="24"/>
                <w:lang w:val="en-US" w:eastAsia="zh-CN"/>
              </w:rPr>
              <w:t>班</w:t>
            </w:r>
          </w:p>
        </w:tc>
        <w:tc>
          <w:tcPr>
            <w:tcW w:w="1032" w:type="dxa"/>
            <w:vAlign w:val="center"/>
          </w:tcPr>
          <w:p>
            <w:pPr>
              <w:widowControl/>
              <w:spacing w:line="240" w:lineRule="auto"/>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30</w:t>
            </w:r>
          </w:p>
        </w:tc>
        <w:tc>
          <w:tcPr>
            <w:tcW w:w="867" w:type="dxa"/>
            <w:vAlign w:val="center"/>
          </w:tcPr>
          <w:p>
            <w:pPr>
              <w:widowControl/>
              <w:spacing w:line="240" w:lineRule="auto"/>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24</w:t>
            </w:r>
          </w:p>
        </w:tc>
        <w:tc>
          <w:tcPr>
            <w:tcW w:w="1013" w:type="dxa"/>
            <w:vAlign w:val="center"/>
          </w:tcPr>
          <w:p>
            <w:pPr>
              <w:widowControl/>
              <w:spacing w:line="240" w:lineRule="auto"/>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vAlign w:val="center"/>
          </w:tcPr>
          <w:p>
            <w:pPr>
              <w:widowControl/>
              <w:spacing w:line="240" w:lineRule="auto"/>
              <w:jc w:val="center"/>
              <w:rPr>
                <w:rFonts w:hint="default"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lang w:val="en-US" w:eastAsia="zh-CN"/>
              </w:rPr>
              <w:t>2019</w:t>
            </w:r>
          </w:p>
        </w:tc>
        <w:tc>
          <w:tcPr>
            <w:tcW w:w="3331" w:type="dxa"/>
            <w:vAlign w:val="center"/>
          </w:tcPr>
          <w:p>
            <w:pPr>
              <w:widowControl/>
              <w:spacing w:line="240" w:lineRule="auto"/>
              <w:jc w:val="center"/>
              <w:rPr>
                <w:rFonts w:hint="default"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rPr>
              <w:t>机械电子工程</w:t>
            </w:r>
            <w:r>
              <w:rPr>
                <w:rFonts w:hint="eastAsia" w:cs="宋体" w:asciiTheme="minorEastAsia" w:hAnsiTheme="minorEastAsia" w:eastAsiaTheme="minorEastAsia"/>
                <w:kern w:val="0"/>
                <w:sz w:val="24"/>
                <w:szCs w:val="24"/>
                <w:lang w:val="en-US" w:eastAsia="zh-CN"/>
              </w:rPr>
              <w:t>12班</w:t>
            </w:r>
          </w:p>
        </w:tc>
        <w:tc>
          <w:tcPr>
            <w:tcW w:w="1032" w:type="dxa"/>
            <w:vAlign w:val="center"/>
          </w:tcPr>
          <w:p>
            <w:pPr>
              <w:widowControl/>
              <w:spacing w:line="240" w:lineRule="auto"/>
              <w:jc w:val="center"/>
              <w:rPr>
                <w:rFonts w:hint="default"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lang w:val="en-US" w:eastAsia="zh-CN"/>
              </w:rPr>
              <w:t>60</w:t>
            </w:r>
          </w:p>
        </w:tc>
        <w:tc>
          <w:tcPr>
            <w:tcW w:w="867" w:type="dxa"/>
            <w:vAlign w:val="center"/>
          </w:tcPr>
          <w:p>
            <w:pPr>
              <w:widowControl/>
              <w:spacing w:line="240" w:lineRule="auto"/>
              <w:jc w:val="center"/>
              <w:rPr>
                <w:rFonts w:hint="default"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lang w:val="en-US" w:eastAsia="zh-CN"/>
              </w:rPr>
              <w:t>60</w:t>
            </w:r>
          </w:p>
        </w:tc>
        <w:tc>
          <w:tcPr>
            <w:tcW w:w="1013" w:type="dxa"/>
            <w:vAlign w:val="center"/>
          </w:tcPr>
          <w:p>
            <w:pPr>
              <w:widowControl/>
              <w:spacing w:line="240" w:lineRule="auto"/>
              <w:jc w:val="center"/>
              <w:rPr>
                <w:rFonts w:hint="eastAsia"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vAlign w:val="center"/>
          </w:tcPr>
          <w:p>
            <w:pPr>
              <w:widowControl/>
              <w:spacing w:line="240" w:lineRule="auto"/>
              <w:jc w:val="center"/>
              <w:rPr>
                <w:rFonts w:hint="default"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lang w:val="en-US" w:eastAsia="zh-CN"/>
              </w:rPr>
              <w:t>2020</w:t>
            </w:r>
          </w:p>
        </w:tc>
        <w:tc>
          <w:tcPr>
            <w:tcW w:w="3331" w:type="dxa"/>
            <w:vAlign w:val="center"/>
          </w:tcPr>
          <w:p>
            <w:pPr>
              <w:widowControl/>
              <w:spacing w:line="240" w:lineRule="auto"/>
              <w:jc w:val="center"/>
              <w:rPr>
                <w:rFonts w:hint="eastAsia"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rPr>
              <w:t>机械电子工程</w:t>
            </w:r>
            <w:r>
              <w:rPr>
                <w:rFonts w:hint="eastAsia" w:cs="宋体" w:asciiTheme="minorEastAsia" w:hAnsiTheme="minorEastAsia" w:eastAsiaTheme="minorEastAsia"/>
                <w:kern w:val="0"/>
                <w:sz w:val="24"/>
                <w:szCs w:val="24"/>
                <w:lang w:val="en-US" w:eastAsia="zh-CN"/>
              </w:rPr>
              <w:t>12班</w:t>
            </w:r>
          </w:p>
        </w:tc>
        <w:tc>
          <w:tcPr>
            <w:tcW w:w="1032" w:type="dxa"/>
            <w:vAlign w:val="center"/>
          </w:tcPr>
          <w:p>
            <w:pPr>
              <w:widowControl/>
              <w:spacing w:line="240" w:lineRule="auto"/>
              <w:jc w:val="center"/>
              <w:rPr>
                <w:rFonts w:hint="default"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lang w:val="en-US" w:eastAsia="zh-CN"/>
              </w:rPr>
              <w:t>60</w:t>
            </w:r>
          </w:p>
        </w:tc>
        <w:tc>
          <w:tcPr>
            <w:tcW w:w="867" w:type="dxa"/>
            <w:vAlign w:val="center"/>
          </w:tcPr>
          <w:p>
            <w:pPr>
              <w:widowControl/>
              <w:spacing w:line="240" w:lineRule="auto"/>
              <w:jc w:val="center"/>
              <w:rPr>
                <w:rFonts w:hint="default"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lang w:val="en-US" w:eastAsia="zh-CN"/>
              </w:rPr>
              <w:t>60</w:t>
            </w:r>
          </w:p>
        </w:tc>
        <w:tc>
          <w:tcPr>
            <w:tcW w:w="1013" w:type="dxa"/>
            <w:vAlign w:val="center"/>
          </w:tcPr>
          <w:p>
            <w:pPr>
              <w:widowControl/>
              <w:spacing w:line="240" w:lineRule="auto"/>
              <w:jc w:val="center"/>
              <w:rPr>
                <w:rFonts w:hint="eastAsia"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vAlign w:val="center"/>
          </w:tcPr>
          <w:p>
            <w:pPr>
              <w:widowControl/>
              <w:spacing w:line="240" w:lineRule="auto"/>
              <w:jc w:val="center"/>
              <w:rPr>
                <w:rFonts w:hint="default"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lang w:val="en-US" w:eastAsia="zh-CN"/>
              </w:rPr>
              <w:t>2021</w:t>
            </w:r>
          </w:p>
        </w:tc>
        <w:tc>
          <w:tcPr>
            <w:tcW w:w="3331" w:type="dxa"/>
            <w:vAlign w:val="center"/>
          </w:tcPr>
          <w:p>
            <w:pPr>
              <w:widowControl/>
              <w:spacing w:line="240" w:lineRule="auto"/>
              <w:jc w:val="center"/>
              <w:rPr>
                <w:rFonts w:hint="eastAsia"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rPr>
              <w:t>机械电子工程</w:t>
            </w:r>
            <w:r>
              <w:rPr>
                <w:rFonts w:hint="eastAsia" w:cs="宋体" w:asciiTheme="minorEastAsia" w:hAnsiTheme="minorEastAsia" w:eastAsiaTheme="minorEastAsia"/>
                <w:kern w:val="0"/>
                <w:sz w:val="24"/>
                <w:szCs w:val="24"/>
                <w:lang w:val="en-US" w:eastAsia="zh-CN"/>
              </w:rPr>
              <w:t>12班</w:t>
            </w:r>
          </w:p>
        </w:tc>
        <w:tc>
          <w:tcPr>
            <w:tcW w:w="1032" w:type="dxa"/>
            <w:vAlign w:val="center"/>
          </w:tcPr>
          <w:p>
            <w:pPr>
              <w:widowControl/>
              <w:spacing w:line="240" w:lineRule="auto"/>
              <w:jc w:val="center"/>
              <w:rPr>
                <w:rFonts w:hint="default"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lang w:val="en-US" w:eastAsia="zh-CN"/>
              </w:rPr>
              <w:t>60</w:t>
            </w:r>
          </w:p>
        </w:tc>
        <w:tc>
          <w:tcPr>
            <w:tcW w:w="867" w:type="dxa"/>
            <w:vAlign w:val="center"/>
          </w:tcPr>
          <w:p>
            <w:pPr>
              <w:widowControl/>
              <w:spacing w:line="240" w:lineRule="auto"/>
              <w:jc w:val="center"/>
              <w:rPr>
                <w:rFonts w:hint="default"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lang w:val="en-US" w:eastAsia="zh-CN"/>
              </w:rPr>
              <w:t>67</w:t>
            </w:r>
          </w:p>
        </w:tc>
        <w:tc>
          <w:tcPr>
            <w:tcW w:w="1013" w:type="dxa"/>
            <w:vAlign w:val="center"/>
          </w:tcPr>
          <w:p>
            <w:pPr>
              <w:widowControl/>
              <w:spacing w:line="240" w:lineRule="auto"/>
              <w:jc w:val="center"/>
              <w:rPr>
                <w:rFonts w:hint="default"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vAlign w:val="center"/>
          </w:tcPr>
          <w:p>
            <w:pPr>
              <w:widowControl/>
              <w:spacing w:line="240" w:lineRule="auto"/>
              <w:jc w:val="center"/>
              <w:rPr>
                <w:rFonts w:hint="default"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lang w:val="en-US" w:eastAsia="zh-CN"/>
              </w:rPr>
              <w:t>2022</w:t>
            </w:r>
          </w:p>
        </w:tc>
        <w:tc>
          <w:tcPr>
            <w:tcW w:w="3331" w:type="dxa"/>
            <w:vAlign w:val="center"/>
          </w:tcPr>
          <w:p>
            <w:pPr>
              <w:widowControl/>
              <w:spacing w:line="240" w:lineRule="auto"/>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机械电子工程</w:t>
            </w:r>
            <w:r>
              <w:rPr>
                <w:rFonts w:hint="eastAsia" w:cs="宋体" w:asciiTheme="minorEastAsia" w:hAnsiTheme="minorEastAsia" w:eastAsiaTheme="minorEastAsia"/>
                <w:kern w:val="0"/>
                <w:sz w:val="24"/>
                <w:szCs w:val="24"/>
                <w:lang w:val="en-US" w:eastAsia="zh-CN"/>
              </w:rPr>
              <w:t>12班</w:t>
            </w:r>
          </w:p>
        </w:tc>
        <w:tc>
          <w:tcPr>
            <w:tcW w:w="1032" w:type="dxa"/>
            <w:vAlign w:val="center"/>
          </w:tcPr>
          <w:p>
            <w:pPr>
              <w:widowControl/>
              <w:spacing w:line="240" w:lineRule="auto"/>
              <w:jc w:val="center"/>
              <w:rPr>
                <w:rFonts w:hint="eastAsia"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lang w:val="en-US" w:eastAsia="zh-CN"/>
              </w:rPr>
              <w:t>60</w:t>
            </w:r>
          </w:p>
        </w:tc>
        <w:tc>
          <w:tcPr>
            <w:tcW w:w="867" w:type="dxa"/>
            <w:vAlign w:val="center"/>
          </w:tcPr>
          <w:p>
            <w:pPr>
              <w:widowControl/>
              <w:spacing w:line="240" w:lineRule="auto"/>
              <w:jc w:val="center"/>
              <w:rPr>
                <w:rFonts w:hint="eastAsia"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lang w:val="en-US" w:eastAsia="zh-CN"/>
              </w:rPr>
              <w:t>60</w:t>
            </w:r>
          </w:p>
        </w:tc>
        <w:tc>
          <w:tcPr>
            <w:tcW w:w="1013" w:type="dxa"/>
            <w:vAlign w:val="center"/>
          </w:tcPr>
          <w:p>
            <w:pPr>
              <w:widowControl/>
              <w:spacing w:line="240" w:lineRule="auto"/>
              <w:jc w:val="center"/>
              <w:rPr>
                <w:rFonts w:hint="eastAsia"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lang w:val="en-US" w:eastAsia="zh-CN"/>
              </w:rPr>
              <w:t>60</w:t>
            </w:r>
          </w:p>
        </w:tc>
      </w:tr>
    </w:tbl>
    <w:p>
      <w:pPr>
        <w:numPr>
          <w:ilvl w:val="0"/>
          <w:numId w:val="1"/>
        </w:numPr>
        <w:spacing w:line="400" w:lineRule="exact"/>
        <w:ind w:firstLine="480" w:firstLineChars="200"/>
        <w:rPr>
          <w:rFonts w:ascii="宋体" w:hAnsi="宋体"/>
          <w:bCs/>
          <w:sz w:val="24"/>
          <w:szCs w:val="24"/>
        </w:rPr>
      </w:pPr>
      <w:r>
        <w:rPr>
          <w:rFonts w:hint="eastAsia" w:ascii="宋体" w:hAnsi="宋体"/>
          <w:bCs/>
          <w:sz w:val="24"/>
          <w:szCs w:val="24"/>
        </w:rPr>
        <w:t>师资与教学条件</w:t>
      </w:r>
    </w:p>
    <w:p>
      <w:pPr>
        <w:spacing w:line="40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在联合培养本科班师资的配备上，天津轻工职业技术学院始终坚持高标准、严要求的遴选原则。随着招生班级的不断增加，为增强本科班教师教学水平和技术能力，近三年派出教师参加各类培训、国培以及挂职锻炼，积极引进优秀人才，除了本校的教学名师和骨干教师以外，还专门聘请了天津市骨干高职院校和本科院校的骨干教师为本科班授课，高级职称任课教师占比率高。为激励教师勇于承担本科课程，学校对承担本科教学的教师工作量按1.5倍计算，并在学校的各类评优、评先进中予以优先考虑，学院单独拿出一定经费供本科班老师购买参考资料和教具，大大调动了优秀教师融入本科教学的师资队伍。</w:t>
      </w:r>
    </w:p>
    <w:p>
      <w:pPr>
        <w:spacing w:line="400" w:lineRule="exact"/>
        <w:ind w:firstLine="480" w:firstLineChars="200"/>
        <w:rPr>
          <w:rFonts w:hint="eastAsia" w:ascii="宋体" w:hAnsi="宋体"/>
          <w:bCs/>
          <w:sz w:val="24"/>
          <w:szCs w:val="24"/>
        </w:rPr>
      </w:pPr>
      <w:r>
        <w:rPr>
          <w:rFonts w:hint="eastAsia" w:asciiTheme="minorEastAsia" w:hAnsiTheme="minorEastAsia" w:eastAsiaTheme="minorEastAsia"/>
          <w:bCs/>
          <w:sz w:val="24"/>
          <w:szCs w:val="24"/>
        </w:rPr>
        <w:t>为确保联合培养质量，天津轻工职业技术学院对本科班已做出规划并单独划分了教学区域，实行重点管理；</w:t>
      </w:r>
      <w:r>
        <w:rPr>
          <w:rFonts w:hint="eastAsia" w:ascii="宋体" w:hAnsi="宋体"/>
          <w:bCs/>
          <w:sz w:val="24"/>
          <w:szCs w:val="24"/>
        </w:rPr>
        <w:t>本学</w:t>
      </w:r>
      <w:r>
        <w:rPr>
          <w:rFonts w:hint="eastAsia" w:ascii="宋体" w:hAnsi="宋体"/>
          <w:bCs/>
          <w:sz w:val="24"/>
          <w:szCs w:val="24"/>
          <w:lang w:eastAsia="zh-CN"/>
        </w:rPr>
        <w:t>年</w:t>
      </w:r>
      <w:r>
        <w:rPr>
          <w:rFonts w:hint="eastAsia" w:ascii="宋体" w:hAnsi="宋体"/>
          <w:bCs/>
          <w:sz w:val="24"/>
          <w:szCs w:val="24"/>
        </w:rPr>
        <w:t>为本科班所安排的任课教师均具有丰富的教学经验和教学资质，除了本校的教学名师和骨干教师以外，还专门聘请了天津职业技术师范大学的骨干教师为本科班授课。电子信息与自动化学院</w:t>
      </w:r>
      <w:r>
        <w:rPr>
          <w:rFonts w:hint="eastAsia" w:ascii="宋体" w:hAnsi="宋体"/>
          <w:bCs/>
          <w:sz w:val="24"/>
          <w:szCs w:val="24"/>
          <w:lang w:val="en-US" w:eastAsia="zh-CN"/>
        </w:rPr>
        <w:t>积极鼓励年轻有企业经验的教师承担本科教学工作，所有</w:t>
      </w:r>
      <w:r>
        <w:rPr>
          <w:rFonts w:hint="eastAsia" w:ascii="宋体" w:hAnsi="宋体"/>
          <w:bCs/>
          <w:sz w:val="24"/>
          <w:szCs w:val="24"/>
        </w:rPr>
        <w:t>教师均具有副教授职称或</w:t>
      </w:r>
      <w:r>
        <w:rPr>
          <w:rFonts w:hint="eastAsia" w:ascii="宋体" w:hAnsi="宋体"/>
          <w:bCs/>
          <w:sz w:val="24"/>
          <w:szCs w:val="24"/>
          <w:lang w:val="en-US" w:eastAsia="zh-CN"/>
        </w:rPr>
        <w:t>工程师资历以及</w:t>
      </w:r>
      <w:r>
        <w:rPr>
          <w:rFonts w:hint="eastAsia" w:ascii="宋体" w:hAnsi="宋体"/>
          <w:bCs/>
          <w:sz w:val="24"/>
          <w:szCs w:val="24"/>
        </w:rPr>
        <w:t>硕士学位。</w:t>
      </w:r>
    </w:p>
    <w:p>
      <w:pPr>
        <w:numPr>
          <w:ilvl w:val="0"/>
          <w:numId w:val="1"/>
        </w:numPr>
        <w:spacing w:line="400" w:lineRule="exact"/>
        <w:ind w:firstLine="480" w:firstLineChars="200"/>
        <w:rPr>
          <w:rFonts w:ascii="宋体" w:hAnsi="宋体"/>
          <w:bCs/>
          <w:sz w:val="24"/>
          <w:szCs w:val="24"/>
        </w:rPr>
      </w:pPr>
      <w:r>
        <w:rPr>
          <w:rFonts w:hint="eastAsia" w:ascii="宋体" w:hAnsi="宋体"/>
          <w:bCs/>
          <w:sz w:val="24"/>
          <w:szCs w:val="24"/>
        </w:rPr>
        <w:t>教学建设与改革</w:t>
      </w:r>
    </w:p>
    <w:p>
      <w:pPr>
        <w:numPr>
          <w:ilvl w:val="0"/>
          <w:numId w:val="2"/>
        </w:numPr>
        <w:spacing w:line="400" w:lineRule="exact"/>
        <w:ind w:firstLine="480" w:firstLineChars="200"/>
        <w:rPr>
          <w:rFonts w:ascii="宋体" w:hAnsi="宋体"/>
          <w:bCs/>
          <w:sz w:val="24"/>
          <w:szCs w:val="24"/>
        </w:rPr>
      </w:pPr>
      <w:r>
        <w:rPr>
          <w:rFonts w:hint="eastAsia" w:ascii="宋体" w:hAnsi="宋体"/>
          <w:bCs/>
          <w:sz w:val="24"/>
          <w:szCs w:val="24"/>
        </w:rPr>
        <w:t>专业人才培养方案设计的原则</w:t>
      </w:r>
    </w:p>
    <w:p>
      <w:pPr>
        <w:spacing w:line="400" w:lineRule="exact"/>
        <w:ind w:firstLine="480" w:firstLineChars="200"/>
        <w:rPr>
          <w:rFonts w:hint="eastAsia" w:ascii="宋体" w:hAnsi="宋体"/>
          <w:bCs/>
          <w:sz w:val="24"/>
          <w:szCs w:val="24"/>
        </w:rPr>
      </w:pPr>
      <w:r>
        <w:rPr>
          <w:rFonts w:hint="eastAsia" w:ascii="宋体" w:hAnsi="宋体"/>
          <w:bCs/>
          <w:sz w:val="24"/>
          <w:szCs w:val="24"/>
        </w:rPr>
        <w:t>依据专业人才培养方案的要求，针对企业进行了广泛、深入的调研。发现企业除了需要各种专业岗位技术人才之外，还需要大量的生产管理、现场技术支持、质量控制、售后服务等岗位的技术应用型人才。根据社会调研与专家论证，依据行业企业对</w:t>
      </w:r>
      <w:r>
        <w:rPr>
          <w:rFonts w:hint="eastAsia" w:ascii="宋体" w:hAnsi="宋体"/>
          <w:bCs/>
          <w:sz w:val="24"/>
          <w:szCs w:val="24"/>
          <w:lang w:eastAsia="zh-CN"/>
        </w:rPr>
        <w:t>本科</w:t>
      </w:r>
      <w:r>
        <w:rPr>
          <w:rFonts w:hint="eastAsia" w:ascii="宋体" w:hAnsi="宋体"/>
          <w:bCs/>
          <w:sz w:val="24"/>
          <w:szCs w:val="24"/>
        </w:rPr>
        <w:t>专业应用型人才的知识、技能及能力要求，以“重实践、强基础、校企化、国际化、复合型”为原则，构建由“基础实践、综合实践、企业实践”三层级实践教学体系。其中，基础实践以模块方式实施，综合实践以项目方式实施。</w:t>
      </w:r>
    </w:p>
    <w:p>
      <w:pPr>
        <w:spacing w:line="400" w:lineRule="exact"/>
        <w:ind w:firstLine="480" w:firstLineChars="200"/>
        <w:rPr>
          <w:rFonts w:ascii="宋体" w:hAnsi="宋体"/>
          <w:bCs/>
          <w:sz w:val="24"/>
          <w:szCs w:val="24"/>
        </w:rPr>
      </w:pPr>
      <w:r>
        <w:rPr>
          <w:rFonts w:hint="eastAsia" w:ascii="宋体" w:hAnsi="宋体"/>
          <w:bCs/>
          <w:sz w:val="24"/>
          <w:szCs w:val="24"/>
        </w:rPr>
        <w:t xml:space="preserve">2.课程体系构建        </w:t>
      </w:r>
    </w:p>
    <w:p>
      <w:pPr>
        <w:spacing w:line="400" w:lineRule="exact"/>
        <w:ind w:firstLine="480" w:firstLineChars="200"/>
        <w:rPr>
          <w:rFonts w:hint="eastAsia" w:ascii="宋体" w:hAnsi="宋体"/>
          <w:bCs/>
          <w:sz w:val="24"/>
          <w:szCs w:val="24"/>
        </w:rPr>
      </w:pPr>
      <w:r>
        <w:rPr>
          <w:rFonts w:hint="eastAsia" w:ascii="宋体" w:hAnsi="宋体"/>
          <w:bCs/>
          <w:sz w:val="24"/>
          <w:szCs w:val="24"/>
        </w:rPr>
        <w:t>依据行业企业对</w:t>
      </w:r>
      <w:r>
        <w:rPr>
          <w:rFonts w:hint="eastAsia" w:ascii="宋体" w:hAnsi="宋体"/>
          <w:bCs/>
          <w:sz w:val="24"/>
          <w:szCs w:val="24"/>
          <w:lang w:eastAsia="zh-CN"/>
        </w:rPr>
        <w:t>本科</w:t>
      </w:r>
      <w:r>
        <w:rPr>
          <w:rFonts w:hint="eastAsia" w:ascii="宋体" w:hAnsi="宋体"/>
          <w:bCs/>
          <w:sz w:val="24"/>
          <w:szCs w:val="24"/>
        </w:rPr>
        <w:t>专业应用型人才的知识、技能及能力要求，以“重实践、强基础、校企化、国际化、复合型”为原则，构建由“基础实践、综合实践、企业实践”三层级实践教学环节构成的教学体系，以强化学生专业技能技术水平。基础实践以模块方式实施，综合实践以项目方式实施。人才培养</w:t>
      </w:r>
      <w:r>
        <w:rPr>
          <w:rFonts w:hint="eastAsia" w:ascii="宋体" w:hAnsi="宋体"/>
          <w:bCs/>
          <w:sz w:val="24"/>
          <w:szCs w:val="24"/>
          <w:lang w:val="en-US" w:eastAsia="zh-CN"/>
        </w:rPr>
        <w:t>调整</w:t>
      </w:r>
      <w:r>
        <w:rPr>
          <w:rFonts w:hint="eastAsia" w:ascii="宋体" w:hAnsi="宋体"/>
          <w:bCs/>
          <w:sz w:val="24"/>
          <w:szCs w:val="24"/>
        </w:rPr>
        <w:t>包括</w:t>
      </w:r>
      <w:r>
        <w:rPr>
          <w:rFonts w:hint="eastAsia"/>
          <w:sz w:val="24"/>
          <w:szCs w:val="24"/>
        </w:rPr>
        <w:t>数控设备应用与维护</w:t>
      </w:r>
      <w:r>
        <w:rPr>
          <w:sz w:val="24"/>
          <w:szCs w:val="24"/>
        </w:rPr>
        <w:t>方向</w:t>
      </w:r>
      <w:r>
        <w:rPr>
          <w:rFonts w:hint="eastAsia" w:ascii="宋体" w:hAnsi="宋体"/>
          <w:bCs/>
          <w:sz w:val="24"/>
          <w:szCs w:val="24"/>
        </w:rPr>
        <w:t xml:space="preserve">、机电一体化技术/系统两个方向，以及工业机器人技术、先进制造技术、工程实践创新项目设计三个选修方向。 </w:t>
      </w:r>
    </w:p>
    <w:p>
      <w:pPr>
        <w:spacing w:line="400" w:lineRule="exact"/>
        <w:ind w:firstLine="480" w:firstLineChars="200"/>
        <w:rPr>
          <w:rFonts w:ascii="宋体" w:hAnsi="宋体"/>
          <w:bCs/>
          <w:sz w:val="24"/>
          <w:szCs w:val="24"/>
        </w:rPr>
      </w:pPr>
      <w:r>
        <w:rPr>
          <w:rFonts w:hint="eastAsia" w:ascii="宋体" w:hAnsi="宋体"/>
          <w:bCs/>
          <w:sz w:val="24"/>
          <w:szCs w:val="24"/>
        </w:rPr>
        <w:t>3.核心课程整体设计</w:t>
      </w:r>
    </w:p>
    <w:p>
      <w:pPr>
        <w:spacing w:line="400" w:lineRule="exact"/>
        <w:ind w:firstLine="480" w:firstLineChars="200"/>
        <w:rPr>
          <w:rFonts w:ascii="宋体" w:hAnsi="宋体"/>
          <w:bCs/>
          <w:sz w:val="24"/>
          <w:szCs w:val="24"/>
        </w:rPr>
      </w:pPr>
      <w:r>
        <w:rPr>
          <w:rFonts w:hint="eastAsia" w:ascii="宋体" w:hAnsi="宋体"/>
          <w:bCs/>
          <w:sz w:val="24"/>
          <w:szCs w:val="24"/>
          <w:lang w:val="en-US" w:eastAsia="zh-CN"/>
        </w:rPr>
        <w:t>由于学生为专升本的学生，实际动手操作能力都比较强，所以在核心课程设计的时候</w:t>
      </w:r>
      <w:r>
        <w:rPr>
          <w:rFonts w:hint="eastAsia" w:ascii="宋体" w:hAnsi="宋体"/>
          <w:bCs/>
          <w:sz w:val="24"/>
          <w:szCs w:val="24"/>
        </w:rPr>
        <w:t>采用以行动为导向、基于工作过程的课程开发方法进行设计，</w:t>
      </w:r>
      <w:r>
        <w:rPr>
          <w:rFonts w:hint="eastAsia" w:ascii="宋体" w:hAnsi="宋体"/>
          <w:bCs/>
          <w:sz w:val="24"/>
          <w:szCs w:val="24"/>
          <w:lang w:val="en-US" w:eastAsia="zh-CN"/>
        </w:rPr>
        <w:t>课程中的</w:t>
      </w:r>
      <w:r>
        <w:rPr>
          <w:rFonts w:hint="eastAsia" w:ascii="宋体" w:hAnsi="宋体"/>
          <w:bCs/>
          <w:sz w:val="24"/>
          <w:szCs w:val="24"/>
        </w:rPr>
        <w:t>项目来源</w:t>
      </w:r>
      <w:r>
        <w:rPr>
          <w:rFonts w:hint="eastAsia" w:ascii="宋体" w:hAnsi="宋体"/>
          <w:bCs/>
          <w:sz w:val="24"/>
          <w:szCs w:val="24"/>
          <w:lang w:val="en-US" w:eastAsia="zh-CN"/>
        </w:rPr>
        <w:t>于</w:t>
      </w:r>
      <w:r>
        <w:rPr>
          <w:rFonts w:hint="eastAsia" w:ascii="宋体" w:hAnsi="宋体"/>
          <w:bCs/>
          <w:sz w:val="24"/>
          <w:szCs w:val="24"/>
        </w:rPr>
        <w:t>企业</w:t>
      </w:r>
      <w:r>
        <w:rPr>
          <w:rFonts w:hint="eastAsia" w:ascii="宋体" w:hAnsi="宋体"/>
          <w:bCs/>
          <w:sz w:val="24"/>
          <w:szCs w:val="24"/>
          <w:lang w:val="en-US" w:eastAsia="zh-CN"/>
        </w:rPr>
        <w:t>的</w:t>
      </w:r>
      <w:r>
        <w:rPr>
          <w:rFonts w:hint="eastAsia" w:ascii="宋体" w:hAnsi="宋体"/>
          <w:bCs/>
          <w:sz w:val="24"/>
          <w:szCs w:val="24"/>
        </w:rPr>
        <w:t>生产实际产品，学习项目本着学生的认知规律安排，每个课程由若干个学习情境组成。学习情境的设计主要考虑以下因素：</w:t>
      </w:r>
    </w:p>
    <w:p>
      <w:pPr>
        <w:spacing w:line="400" w:lineRule="exact"/>
        <w:ind w:firstLine="480" w:firstLineChars="200"/>
        <w:rPr>
          <w:rFonts w:ascii="宋体" w:hAnsi="宋体"/>
          <w:bCs/>
          <w:sz w:val="24"/>
          <w:szCs w:val="24"/>
        </w:rPr>
      </w:pPr>
      <w:r>
        <w:rPr>
          <w:rFonts w:hint="eastAsia" w:ascii="宋体" w:hAnsi="宋体"/>
          <w:bCs/>
          <w:sz w:val="24"/>
          <w:szCs w:val="24"/>
        </w:rPr>
        <w:t>（1）学习情境的设计符合基于工作过程的教学设计思想的要求。学习情境是在校内外实训基地对真实工作过程的教学化加工，以完成具体的工作任务为目标。</w:t>
      </w:r>
    </w:p>
    <w:p>
      <w:pPr>
        <w:spacing w:line="400" w:lineRule="exact"/>
        <w:ind w:firstLine="480" w:firstLineChars="200"/>
        <w:rPr>
          <w:rFonts w:ascii="宋体" w:hAnsi="宋体"/>
          <w:bCs/>
          <w:sz w:val="24"/>
          <w:szCs w:val="24"/>
        </w:rPr>
      </w:pPr>
      <w:r>
        <w:rPr>
          <w:rFonts w:hint="eastAsia" w:ascii="宋体" w:hAnsi="宋体"/>
          <w:bCs/>
          <w:sz w:val="24"/>
          <w:szCs w:val="24"/>
        </w:rPr>
        <w:t>（2）学习情境的前后排序符合学生认知规律，采取从简单到复杂、从单一到综合的排序方法。</w:t>
      </w:r>
    </w:p>
    <w:p>
      <w:pPr>
        <w:spacing w:line="400" w:lineRule="exact"/>
        <w:ind w:firstLine="480" w:firstLineChars="200"/>
        <w:rPr>
          <w:rFonts w:ascii="宋体" w:hAnsi="宋体"/>
          <w:bCs/>
          <w:sz w:val="24"/>
          <w:szCs w:val="24"/>
        </w:rPr>
      </w:pPr>
      <w:r>
        <w:rPr>
          <w:rFonts w:hint="eastAsia" w:ascii="宋体" w:hAnsi="宋体"/>
          <w:bCs/>
          <w:sz w:val="24"/>
          <w:szCs w:val="24"/>
        </w:rPr>
        <w:t>4.学生职业素质培养系统设计</w:t>
      </w:r>
    </w:p>
    <w:p>
      <w:pPr>
        <w:spacing w:line="400" w:lineRule="exact"/>
        <w:ind w:firstLine="480" w:firstLineChars="200"/>
        <w:rPr>
          <w:rFonts w:hint="eastAsia" w:ascii="宋体" w:hAnsi="宋体"/>
          <w:bCs/>
          <w:sz w:val="24"/>
          <w:szCs w:val="24"/>
        </w:rPr>
      </w:pPr>
      <w:r>
        <w:rPr>
          <w:rFonts w:hint="eastAsia" w:ascii="宋体" w:hAnsi="宋体"/>
          <w:bCs/>
          <w:sz w:val="24"/>
          <w:szCs w:val="24"/>
        </w:rPr>
        <w:t>在教学设计上充分考虑学生学习积极性的提高和创造性的发展。在教学中采用“做中学、做中教”的教学模式，既教会了学生实际操作能力又培养了学生的团队精神，使学生增强自信心和责任感，从而全面提高学生的综合素质。以企业岗位能力为目标,实现理论与实践相融合的项目教学方法，以真实的工作情境或任务为载体，让每个学生都有个性发展，充分展示自身的价值。</w:t>
      </w:r>
    </w:p>
    <w:p>
      <w:pPr>
        <w:spacing w:line="400" w:lineRule="exact"/>
        <w:ind w:firstLine="482" w:firstLineChars="200"/>
        <w:rPr>
          <w:rFonts w:ascii="宋体" w:hAnsi="宋体"/>
          <w:bCs/>
          <w:sz w:val="24"/>
          <w:szCs w:val="24"/>
        </w:rPr>
      </w:pPr>
      <w:r>
        <w:rPr>
          <w:rFonts w:hint="eastAsia" w:ascii="仿宋_GB2312" w:hAnsi="宋体" w:eastAsia="仿宋_GB2312"/>
          <w:b/>
          <w:color w:val="000000"/>
          <w:sz w:val="24"/>
          <w:szCs w:val="24"/>
        </w:rPr>
        <w:t xml:space="preserve"> </w:t>
      </w:r>
      <w:r>
        <w:rPr>
          <w:rFonts w:hint="eastAsia" w:ascii="宋体" w:hAnsi="宋体"/>
          <w:bCs/>
          <w:sz w:val="24"/>
          <w:szCs w:val="24"/>
        </w:rPr>
        <w:t>5.课程设置与实训项目安排</w:t>
      </w:r>
    </w:p>
    <w:p>
      <w:pPr>
        <w:spacing w:line="400" w:lineRule="exact"/>
        <w:ind w:firstLine="480" w:firstLineChars="200"/>
        <w:rPr>
          <w:rFonts w:hint="eastAsia" w:ascii="宋体" w:hAnsi="宋体"/>
          <w:bCs/>
          <w:sz w:val="24"/>
          <w:szCs w:val="24"/>
        </w:rPr>
      </w:pPr>
      <w:r>
        <w:rPr>
          <w:rFonts w:hint="eastAsia" w:ascii="宋体" w:hAnsi="宋体"/>
          <w:bCs/>
          <w:sz w:val="24"/>
          <w:szCs w:val="24"/>
        </w:rPr>
        <w:t>课程设置分为公共基础课、技术理论基础</w:t>
      </w:r>
      <w:r>
        <w:rPr>
          <w:rFonts w:hint="eastAsia" w:ascii="宋体" w:hAnsi="宋体"/>
          <w:bCs/>
          <w:sz w:val="24"/>
          <w:szCs w:val="24"/>
          <w:lang w:eastAsia="zh-CN"/>
        </w:rPr>
        <w:t>课</w:t>
      </w:r>
      <w:r>
        <w:rPr>
          <w:rFonts w:hint="eastAsia" w:ascii="宋体" w:hAnsi="宋体"/>
          <w:bCs/>
          <w:sz w:val="24"/>
          <w:szCs w:val="24"/>
        </w:rPr>
        <w:t>、基础技术技能实践</w:t>
      </w:r>
      <w:r>
        <w:rPr>
          <w:rFonts w:hint="eastAsia" w:ascii="宋体" w:hAnsi="宋体"/>
          <w:bCs/>
          <w:sz w:val="24"/>
          <w:szCs w:val="24"/>
          <w:lang w:eastAsia="zh-CN"/>
        </w:rPr>
        <w:t>课</w:t>
      </w:r>
      <w:r>
        <w:rPr>
          <w:rFonts w:hint="eastAsia" w:ascii="宋体" w:hAnsi="宋体"/>
          <w:bCs/>
          <w:sz w:val="24"/>
          <w:szCs w:val="24"/>
        </w:rPr>
        <w:t>、综合技术技能实践</w:t>
      </w:r>
      <w:r>
        <w:rPr>
          <w:rFonts w:hint="eastAsia" w:ascii="宋体" w:hAnsi="宋体"/>
          <w:bCs/>
          <w:sz w:val="24"/>
          <w:szCs w:val="24"/>
          <w:lang w:eastAsia="zh-CN"/>
        </w:rPr>
        <w:t>课</w:t>
      </w:r>
      <w:r>
        <w:rPr>
          <w:rFonts w:hint="eastAsia" w:ascii="宋体" w:hAnsi="宋体"/>
          <w:bCs/>
          <w:sz w:val="24"/>
          <w:szCs w:val="24"/>
        </w:rPr>
        <w:t>、专业实践</w:t>
      </w:r>
      <w:r>
        <w:rPr>
          <w:rFonts w:hint="eastAsia" w:ascii="宋体" w:hAnsi="宋体"/>
          <w:bCs/>
          <w:sz w:val="24"/>
          <w:szCs w:val="24"/>
          <w:lang w:eastAsia="zh-CN"/>
        </w:rPr>
        <w:t>课和毕业环节六个</w:t>
      </w:r>
      <w:r>
        <w:rPr>
          <w:rFonts w:hint="eastAsia" w:ascii="宋体" w:hAnsi="宋体"/>
          <w:bCs/>
          <w:sz w:val="24"/>
          <w:szCs w:val="24"/>
        </w:rPr>
        <w:t>部分。</w:t>
      </w:r>
    </w:p>
    <w:p>
      <w:pPr>
        <w:spacing w:line="400" w:lineRule="exact"/>
        <w:ind w:firstLine="480" w:firstLineChars="200"/>
        <w:rPr>
          <w:rFonts w:hint="eastAsia" w:ascii="宋体" w:hAnsi="宋体"/>
          <w:bCs/>
          <w:sz w:val="24"/>
          <w:szCs w:val="24"/>
        </w:rPr>
      </w:pPr>
      <w:r>
        <w:rPr>
          <w:rFonts w:hint="eastAsia" w:ascii="宋体" w:hAnsi="宋体"/>
          <w:bCs/>
          <w:sz w:val="24"/>
          <w:szCs w:val="24"/>
        </w:rPr>
        <w:t>公共基础课：满足本科</w:t>
      </w:r>
      <w:r>
        <w:rPr>
          <w:rFonts w:hint="eastAsia" w:ascii="宋体" w:hAnsi="宋体"/>
          <w:bCs/>
          <w:sz w:val="24"/>
          <w:szCs w:val="24"/>
          <w:lang w:eastAsia="zh-CN"/>
        </w:rPr>
        <w:t>基本</w:t>
      </w:r>
      <w:r>
        <w:rPr>
          <w:rFonts w:hint="eastAsia" w:ascii="宋体" w:hAnsi="宋体"/>
          <w:bCs/>
          <w:sz w:val="24"/>
          <w:szCs w:val="24"/>
        </w:rPr>
        <w:t>要求，对课程进行系统性设计，突出专业方向要求，满足学生可持续发展的需要。</w:t>
      </w:r>
    </w:p>
    <w:p>
      <w:pPr>
        <w:spacing w:line="400" w:lineRule="exact"/>
        <w:ind w:firstLine="480" w:firstLineChars="200"/>
        <w:rPr>
          <w:rFonts w:ascii="宋体" w:hAnsi="宋体"/>
          <w:bCs/>
          <w:sz w:val="24"/>
          <w:szCs w:val="24"/>
        </w:rPr>
      </w:pPr>
      <w:r>
        <w:rPr>
          <w:rFonts w:hint="eastAsia" w:ascii="宋体" w:hAnsi="宋体"/>
          <w:bCs/>
          <w:sz w:val="24"/>
          <w:szCs w:val="24"/>
        </w:rPr>
        <w:t>技术理论课基础课：适应专业课程前置的需要和技能训练的安排，为专业知识学习和技能的操作打下坚实的基础。</w:t>
      </w:r>
    </w:p>
    <w:p>
      <w:pPr>
        <w:spacing w:line="400" w:lineRule="exact"/>
        <w:ind w:firstLine="480" w:firstLineChars="200"/>
        <w:rPr>
          <w:rFonts w:hint="eastAsia" w:ascii="宋体" w:hAnsi="宋体"/>
          <w:bCs/>
          <w:sz w:val="24"/>
          <w:szCs w:val="24"/>
        </w:rPr>
      </w:pPr>
      <w:r>
        <w:rPr>
          <w:rFonts w:hint="eastAsia" w:ascii="宋体" w:hAnsi="宋体"/>
          <w:bCs/>
          <w:sz w:val="24"/>
          <w:szCs w:val="24"/>
        </w:rPr>
        <w:t>基础技术技能实践</w:t>
      </w:r>
      <w:r>
        <w:rPr>
          <w:rFonts w:hint="eastAsia" w:ascii="宋体" w:hAnsi="宋体"/>
          <w:bCs/>
          <w:sz w:val="24"/>
          <w:szCs w:val="24"/>
          <w:lang w:eastAsia="zh-CN"/>
        </w:rPr>
        <w:t>课</w:t>
      </w:r>
      <w:r>
        <w:rPr>
          <w:rFonts w:hint="eastAsia" w:ascii="宋体" w:hAnsi="宋体"/>
          <w:bCs/>
          <w:sz w:val="24"/>
          <w:szCs w:val="24"/>
        </w:rPr>
        <w:t>：通过典型工作任务的分析、实施、完成，明确了职业岗位对职业素质、职业知识技能、职业资格的要求，培养技术应用型、高端技能型人才。</w:t>
      </w:r>
    </w:p>
    <w:p>
      <w:pPr>
        <w:spacing w:line="400" w:lineRule="exact"/>
        <w:ind w:firstLine="480" w:firstLineChars="200"/>
        <w:rPr>
          <w:rFonts w:hint="eastAsia" w:ascii="宋体" w:hAnsi="宋体"/>
          <w:bCs/>
          <w:sz w:val="24"/>
          <w:szCs w:val="24"/>
        </w:rPr>
      </w:pPr>
      <w:r>
        <w:rPr>
          <w:rFonts w:hint="eastAsia" w:ascii="宋体" w:hAnsi="宋体"/>
          <w:bCs/>
          <w:sz w:val="24"/>
          <w:szCs w:val="24"/>
        </w:rPr>
        <w:t>专业实践</w:t>
      </w:r>
      <w:r>
        <w:rPr>
          <w:rFonts w:hint="eastAsia" w:ascii="宋体" w:hAnsi="宋体"/>
          <w:bCs/>
          <w:sz w:val="24"/>
          <w:szCs w:val="24"/>
          <w:lang w:eastAsia="zh-CN"/>
        </w:rPr>
        <w:t>课</w:t>
      </w:r>
      <w:r>
        <w:rPr>
          <w:rFonts w:hint="eastAsia" w:ascii="宋体" w:hAnsi="宋体"/>
          <w:bCs/>
          <w:sz w:val="24"/>
          <w:szCs w:val="24"/>
        </w:rPr>
        <w:t xml:space="preserve">：采用综合化实训和模块化课程设计，使实践教学环节的技能训练和技术应用有机衔接，突出技能培养。 </w:t>
      </w:r>
    </w:p>
    <w:p>
      <w:pPr>
        <w:spacing w:line="400" w:lineRule="exact"/>
        <w:ind w:firstLine="480" w:firstLineChars="200"/>
        <w:rPr>
          <w:rFonts w:hint="eastAsia" w:ascii="宋体" w:hAnsi="宋体"/>
          <w:bCs/>
          <w:sz w:val="24"/>
          <w:szCs w:val="24"/>
        </w:rPr>
      </w:pPr>
      <w:r>
        <w:rPr>
          <w:rFonts w:hint="eastAsia" w:ascii="仿宋_GB2312" w:hAnsi="宋体" w:eastAsia="仿宋_GB2312"/>
          <w:b w:val="0"/>
          <w:bCs/>
          <w:color w:val="000000"/>
          <w:sz w:val="24"/>
          <w:szCs w:val="24"/>
          <w:lang w:val="en-US" w:eastAsia="zh-CN"/>
        </w:rPr>
        <w:t>6</w:t>
      </w:r>
      <w:r>
        <w:rPr>
          <w:rFonts w:hint="eastAsia" w:ascii="宋体" w:hAnsi="宋体"/>
          <w:b w:val="0"/>
          <w:bCs/>
          <w:sz w:val="24"/>
          <w:szCs w:val="24"/>
        </w:rPr>
        <w:t>.</w:t>
      </w:r>
      <w:r>
        <w:rPr>
          <w:rFonts w:hint="eastAsia" w:ascii="宋体" w:hAnsi="宋体"/>
          <w:bCs/>
          <w:sz w:val="24"/>
          <w:szCs w:val="24"/>
        </w:rPr>
        <w:t>质量保障体系</w:t>
      </w:r>
    </w:p>
    <w:p>
      <w:pPr>
        <w:spacing w:line="400" w:lineRule="exact"/>
        <w:ind w:firstLine="480" w:firstLineChars="200"/>
        <w:rPr>
          <w:rFonts w:hint="eastAsia" w:ascii="宋体" w:hAnsi="宋体"/>
          <w:bCs/>
          <w:sz w:val="24"/>
          <w:szCs w:val="24"/>
        </w:rPr>
      </w:pPr>
      <w:r>
        <w:rPr>
          <w:rFonts w:hint="eastAsia" w:ascii="宋体" w:hAnsi="宋体"/>
          <w:bCs/>
          <w:sz w:val="24"/>
          <w:szCs w:val="24"/>
        </w:rPr>
        <w:t>按照协议规定，</w:t>
      </w:r>
      <w:r>
        <w:rPr>
          <w:rFonts w:hint="eastAsia" w:ascii="宋体" w:hAnsi="宋体"/>
          <w:bCs/>
          <w:sz w:val="24"/>
          <w:szCs w:val="24"/>
          <w:lang w:eastAsia="zh-CN"/>
        </w:rPr>
        <w:t>联合培养本科校</w:t>
      </w:r>
      <w:r>
        <w:rPr>
          <w:rFonts w:hint="eastAsia" w:ascii="宋体" w:hAnsi="宋体"/>
          <w:bCs/>
          <w:sz w:val="24"/>
          <w:szCs w:val="24"/>
        </w:rPr>
        <w:t>负责全程监控教育教学质量，负责学生学籍管理和相关教学教务管理；并负责审核学生毕业资格和学士学位资格，颁发毕业证书和学士学位证书。天津轻工职业技术学院负责教学实施、学生管理和日常生活管理。</w:t>
      </w:r>
    </w:p>
    <w:p>
      <w:pPr>
        <w:spacing w:line="400" w:lineRule="exact"/>
        <w:ind w:firstLine="480" w:firstLineChars="200"/>
        <w:rPr>
          <w:rFonts w:hint="eastAsia" w:ascii="宋体" w:hAnsi="宋体"/>
          <w:bCs/>
          <w:sz w:val="24"/>
          <w:szCs w:val="24"/>
        </w:rPr>
      </w:pPr>
      <w:r>
        <w:rPr>
          <w:rFonts w:hint="eastAsia" w:ascii="宋体" w:hAnsi="宋体"/>
          <w:bCs/>
          <w:sz w:val="24"/>
          <w:szCs w:val="24"/>
        </w:rPr>
        <w:t>天津轻工职业技术学院成立联合培养技能型本科工作办公室，办公室设在</w:t>
      </w:r>
      <w:r>
        <w:rPr>
          <w:rFonts w:hint="eastAsia" w:ascii="宋体" w:hAnsi="宋体"/>
          <w:bCs/>
          <w:sz w:val="24"/>
          <w:szCs w:val="24"/>
          <w:lang w:eastAsia="zh-CN"/>
        </w:rPr>
        <w:t>教务部</w:t>
      </w:r>
      <w:r>
        <w:rPr>
          <w:rFonts w:hint="eastAsia" w:ascii="宋体" w:hAnsi="宋体"/>
          <w:bCs/>
          <w:sz w:val="24"/>
          <w:szCs w:val="24"/>
        </w:rPr>
        <w:t>，由</w:t>
      </w:r>
      <w:r>
        <w:rPr>
          <w:rFonts w:hint="eastAsia" w:ascii="宋体" w:hAnsi="宋体"/>
          <w:bCs/>
          <w:sz w:val="24"/>
          <w:szCs w:val="24"/>
          <w:lang w:eastAsia="zh-CN"/>
        </w:rPr>
        <w:t>教务部</w:t>
      </w:r>
      <w:r>
        <w:rPr>
          <w:rFonts w:hint="eastAsia" w:ascii="宋体" w:hAnsi="宋体"/>
          <w:bCs/>
          <w:sz w:val="24"/>
          <w:szCs w:val="24"/>
        </w:rPr>
        <w:t>处长担任负责人，负责与中德</w:t>
      </w:r>
      <w:r>
        <w:rPr>
          <w:rFonts w:hint="eastAsia" w:ascii="宋体" w:hAnsi="宋体"/>
          <w:bCs/>
          <w:sz w:val="24"/>
          <w:szCs w:val="24"/>
          <w:lang w:eastAsia="zh-CN"/>
        </w:rPr>
        <w:t>、工大、科大、</w:t>
      </w:r>
      <w:r>
        <w:rPr>
          <w:rFonts w:hint="eastAsia" w:ascii="宋体" w:hAnsi="宋体"/>
          <w:bCs/>
          <w:sz w:val="24"/>
          <w:szCs w:val="24"/>
          <w:lang w:val="en-US" w:eastAsia="zh-CN"/>
        </w:rPr>
        <w:t>天职师大</w:t>
      </w:r>
      <w:r>
        <w:rPr>
          <w:rFonts w:hint="eastAsia" w:ascii="宋体" w:hAnsi="宋体"/>
          <w:bCs/>
          <w:sz w:val="24"/>
          <w:szCs w:val="24"/>
        </w:rPr>
        <w:t>的整体协调、请示、汇报以及相关事项的沟通。办公室成员由</w:t>
      </w:r>
      <w:r>
        <w:rPr>
          <w:rFonts w:hint="eastAsia" w:ascii="宋体" w:hAnsi="宋体"/>
          <w:bCs/>
          <w:sz w:val="24"/>
          <w:szCs w:val="24"/>
          <w:lang w:eastAsia="zh-CN"/>
        </w:rPr>
        <w:t>教务部</w:t>
      </w:r>
      <w:r>
        <w:rPr>
          <w:rFonts w:hint="eastAsia" w:ascii="宋体" w:hAnsi="宋体"/>
          <w:bCs/>
          <w:sz w:val="24"/>
          <w:szCs w:val="24"/>
        </w:rPr>
        <w:t>、学工部及</w:t>
      </w:r>
      <w:r>
        <w:rPr>
          <w:rFonts w:hint="eastAsia" w:ascii="宋体" w:hAnsi="宋体"/>
          <w:bCs/>
          <w:sz w:val="24"/>
          <w:szCs w:val="24"/>
          <w:lang w:eastAsia="zh-CN"/>
        </w:rPr>
        <w:t>二级</w:t>
      </w:r>
      <w:r>
        <w:rPr>
          <w:rFonts w:hint="eastAsia" w:ascii="宋体" w:hAnsi="宋体"/>
          <w:bCs/>
          <w:sz w:val="24"/>
          <w:szCs w:val="24"/>
        </w:rPr>
        <w:t>学院负责人和具体老师组成。教学管理整体工作由</w:t>
      </w:r>
      <w:r>
        <w:rPr>
          <w:rFonts w:hint="eastAsia" w:ascii="宋体" w:hAnsi="宋体"/>
          <w:bCs/>
          <w:sz w:val="24"/>
          <w:szCs w:val="24"/>
          <w:lang w:eastAsia="zh-CN"/>
        </w:rPr>
        <w:t>教务部</w:t>
      </w:r>
      <w:r>
        <w:rPr>
          <w:rFonts w:hint="eastAsia" w:ascii="宋体" w:hAnsi="宋体"/>
          <w:bCs/>
          <w:sz w:val="24"/>
          <w:szCs w:val="24"/>
        </w:rPr>
        <w:t>与</w:t>
      </w:r>
      <w:r>
        <w:rPr>
          <w:rFonts w:hint="eastAsia" w:ascii="宋体" w:hAnsi="宋体"/>
          <w:bCs/>
          <w:sz w:val="24"/>
          <w:szCs w:val="24"/>
          <w:lang w:eastAsia="zh-CN"/>
        </w:rPr>
        <w:t>联合培养本科校</w:t>
      </w:r>
      <w:r>
        <w:rPr>
          <w:rFonts w:hint="eastAsia" w:ascii="宋体" w:hAnsi="宋体"/>
          <w:bCs/>
          <w:sz w:val="24"/>
          <w:szCs w:val="24"/>
        </w:rPr>
        <w:t>教务</w:t>
      </w:r>
      <w:r>
        <w:rPr>
          <w:rFonts w:hint="eastAsia" w:ascii="宋体" w:hAnsi="宋体"/>
          <w:bCs/>
          <w:sz w:val="24"/>
          <w:szCs w:val="24"/>
          <w:lang w:eastAsia="zh-CN"/>
        </w:rPr>
        <w:t>部门</w:t>
      </w:r>
      <w:r>
        <w:rPr>
          <w:rFonts w:hint="eastAsia" w:ascii="宋体" w:hAnsi="宋体"/>
          <w:bCs/>
          <w:sz w:val="24"/>
          <w:szCs w:val="24"/>
        </w:rPr>
        <w:t>对接、学生管理整体工作由学工部与学生</w:t>
      </w:r>
      <w:r>
        <w:rPr>
          <w:rFonts w:hint="eastAsia" w:ascii="宋体" w:hAnsi="宋体"/>
          <w:bCs/>
          <w:sz w:val="24"/>
          <w:szCs w:val="24"/>
          <w:lang w:eastAsia="zh-CN"/>
        </w:rPr>
        <w:t>管理部门</w:t>
      </w:r>
      <w:r>
        <w:rPr>
          <w:rFonts w:hint="eastAsia" w:ascii="宋体" w:hAnsi="宋体"/>
          <w:bCs/>
          <w:sz w:val="24"/>
          <w:szCs w:val="24"/>
        </w:rPr>
        <w:t>对接。</w:t>
      </w:r>
    </w:p>
    <w:p>
      <w:pPr>
        <w:spacing w:line="400" w:lineRule="exact"/>
        <w:ind w:firstLine="480" w:firstLineChars="200"/>
        <w:rPr>
          <w:rFonts w:hint="eastAsia" w:ascii="宋体" w:hAnsi="宋体"/>
          <w:bCs/>
          <w:sz w:val="24"/>
          <w:szCs w:val="24"/>
        </w:rPr>
      </w:pPr>
      <w:r>
        <w:rPr>
          <w:rFonts w:hint="eastAsia" w:ascii="宋体" w:hAnsi="宋体"/>
          <w:bCs/>
          <w:sz w:val="24"/>
          <w:szCs w:val="24"/>
        </w:rPr>
        <w:t>学院专门为本科班学生安排了专用教室，教学桌椅统一配置。专门为本科班教学配置了可移动多媒体教学大屏幕，确保教学硬件条件符合当前教学要求。班级设一名专职辅导员和一名专业导师，专业导师由教研室主任担任，分别承担事务管理和专业指导工作。</w:t>
      </w:r>
    </w:p>
    <w:p>
      <w:pPr>
        <w:spacing w:line="400" w:lineRule="exact"/>
        <w:ind w:firstLine="480" w:firstLineChars="200"/>
        <w:rPr>
          <w:rFonts w:hint="eastAsia" w:ascii="宋体" w:hAnsi="宋体" w:eastAsia="宋体"/>
          <w:bCs/>
          <w:sz w:val="24"/>
          <w:szCs w:val="24"/>
          <w:lang w:eastAsia="zh-CN"/>
        </w:rPr>
      </w:pPr>
      <w:r>
        <w:rPr>
          <w:rFonts w:hint="eastAsia" w:ascii="宋体" w:hAnsi="宋体"/>
          <w:bCs/>
          <w:sz w:val="24"/>
          <w:szCs w:val="24"/>
          <w:lang w:eastAsia="zh-CN"/>
        </w:rPr>
        <w:t>四、教学和学生管理工作</w:t>
      </w:r>
    </w:p>
    <w:p>
      <w:pPr>
        <w:spacing w:line="400" w:lineRule="exact"/>
        <w:ind w:firstLine="480" w:firstLineChars="200"/>
        <w:rPr>
          <w:rFonts w:ascii="宋体" w:hAnsi="宋体"/>
          <w:bCs/>
          <w:sz w:val="24"/>
          <w:szCs w:val="24"/>
        </w:rPr>
      </w:pPr>
      <w:r>
        <w:rPr>
          <w:rFonts w:hint="eastAsia" w:ascii="宋体" w:hAnsi="宋体"/>
          <w:bCs/>
          <w:sz w:val="24"/>
          <w:szCs w:val="24"/>
        </w:rPr>
        <w:t>（一）教学管理工作</w:t>
      </w:r>
    </w:p>
    <w:p>
      <w:pPr>
        <w:spacing w:line="400" w:lineRule="exact"/>
        <w:ind w:firstLine="480" w:firstLineChars="200"/>
        <w:rPr>
          <w:rFonts w:ascii="宋体" w:hAnsi="宋体"/>
          <w:bCs/>
          <w:sz w:val="24"/>
          <w:szCs w:val="24"/>
        </w:rPr>
      </w:pPr>
      <w:r>
        <w:rPr>
          <w:rFonts w:hint="eastAsia" w:ascii="宋体" w:hAnsi="宋体"/>
          <w:bCs/>
          <w:sz w:val="24"/>
          <w:szCs w:val="24"/>
        </w:rPr>
        <w:t>1.</w:t>
      </w:r>
      <w:r>
        <w:rPr>
          <w:rFonts w:hint="eastAsia" w:ascii="宋体" w:hAnsi="宋体"/>
          <w:bCs/>
          <w:sz w:val="24"/>
          <w:szCs w:val="24"/>
          <w:lang w:val="en-US" w:eastAsia="zh-CN"/>
        </w:rPr>
        <w:t>联合培养相关学校</w:t>
      </w:r>
      <w:r>
        <w:rPr>
          <w:rFonts w:hint="eastAsia" w:ascii="宋体" w:hAnsi="宋体"/>
          <w:bCs/>
          <w:sz w:val="24"/>
          <w:szCs w:val="24"/>
        </w:rPr>
        <w:t>高度重视，精心做好教学准备</w:t>
      </w:r>
    </w:p>
    <w:p>
      <w:pPr>
        <w:spacing w:line="400" w:lineRule="exact"/>
        <w:rPr>
          <w:rFonts w:ascii="宋体" w:hAnsi="宋体"/>
          <w:bCs/>
          <w:sz w:val="24"/>
          <w:szCs w:val="24"/>
        </w:rPr>
      </w:pPr>
      <w:r>
        <w:rPr>
          <w:rFonts w:hint="eastAsia" w:ascii="宋体" w:hAnsi="宋体"/>
          <w:bCs/>
          <w:sz w:val="24"/>
          <w:szCs w:val="24"/>
        </w:rPr>
        <w:t xml:space="preserve">    （1）学期开学前，学院与</w:t>
      </w:r>
      <w:r>
        <w:rPr>
          <w:rFonts w:hint="eastAsia" w:ascii="宋体" w:hAnsi="宋体"/>
          <w:bCs/>
          <w:sz w:val="24"/>
          <w:szCs w:val="24"/>
          <w:lang w:eastAsia="zh-CN"/>
        </w:rPr>
        <w:t>相关本科校</w:t>
      </w:r>
      <w:r>
        <w:rPr>
          <w:rFonts w:hint="eastAsia" w:ascii="宋体" w:hAnsi="宋体"/>
          <w:bCs/>
          <w:sz w:val="24"/>
          <w:szCs w:val="24"/>
        </w:rPr>
        <w:t>共同</w:t>
      </w:r>
      <w:r>
        <w:rPr>
          <w:rFonts w:hint="eastAsia" w:ascii="宋体" w:hAnsi="宋体"/>
          <w:bCs/>
          <w:sz w:val="24"/>
          <w:szCs w:val="24"/>
          <w:lang w:val="en-US" w:eastAsia="zh-CN"/>
        </w:rPr>
        <w:t>修订</w:t>
      </w:r>
      <w:r>
        <w:rPr>
          <w:rFonts w:hint="eastAsia" w:ascii="宋体" w:hAnsi="宋体"/>
          <w:bCs/>
          <w:sz w:val="24"/>
          <w:szCs w:val="24"/>
        </w:rPr>
        <w:t>技能型本科人才培养方案。</w:t>
      </w:r>
    </w:p>
    <w:p>
      <w:pPr>
        <w:spacing w:line="400" w:lineRule="exact"/>
        <w:rPr>
          <w:rFonts w:ascii="宋体" w:hAnsi="宋体"/>
          <w:bCs/>
          <w:color w:val="auto"/>
          <w:sz w:val="24"/>
          <w:szCs w:val="24"/>
        </w:rPr>
      </w:pPr>
      <w:r>
        <w:rPr>
          <w:rFonts w:hint="eastAsia" w:ascii="宋体" w:hAnsi="宋体"/>
          <w:bCs/>
          <w:sz w:val="24"/>
          <w:szCs w:val="24"/>
        </w:rPr>
        <w:t xml:space="preserve">    （2）</w:t>
      </w:r>
      <w:r>
        <w:rPr>
          <w:rFonts w:hint="eastAsia" w:ascii="宋体" w:hAnsi="宋体"/>
          <w:bCs/>
          <w:color w:val="auto"/>
          <w:sz w:val="24"/>
          <w:szCs w:val="24"/>
        </w:rPr>
        <w:t>学院本着单独编班、单独管理的原则，</w:t>
      </w:r>
      <w:r>
        <w:rPr>
          <w:rFonts w:hint="eastAsia" w:ascii="宋体" w:hAnsi="宋体"/>
          <w:bCs/>
          <w:color w:val="auto"/>
          <w:sz w:val="24"/>
          <w:szCs w:val="24"/>
          <w:lang w:val="en-US" w:eastAsia="zh-CN"/>
        </w:rPr>
        <w:t>每年</w:t>
      </w:r>
      <w:r>
        <w:rPr>
          <w:rFonts w:hint="eastAsia" w:ascii="宋体" w:hAnsi="宋体"/>
          <w:bCs/>
          <w:color w:val="auto"/>
          <w:sz w:val="24"/>
          <w:szCs w:val="24"/>
        </w:rPr>
        <w:t>提供给技能型本科班一间专用教室并新配备多媒体教学系统，给学生提供良好的学习场所。学院为班级设一名专职辅导员和一名专业导师，专业导师由</w:t>
      </w:r>
      <w:r>
        <w:rPr>
          <w:rFonts w:hint="eastAsia" w:ascii="宋体" w:hAnsi="宋体"/>
          <w:bCs/>
          <w:color w:val="auto"/>
          <w:sz w:val="24"/>
          <w:szCs w:val="24"/>
          <w:lang w:eastAsia="zh-CN"/>
        </w:rPr>
        <w:t>机电</w:t>
      </w:r>
      <w:r>
        <w:rPr>
          <w:rFonts w:hint="eastAsia" w:ascii="宋体" w:hAnsi="宋体"/>
          <w:bCs/>
          <w:color w:val="auto"/>
          <w:sz w:val="24"/>
          <w:szCs w:val="24"/>
        </w:rPr>
        <w:t>教研室主任担任，分别承担事务管理和专业指导工作。</w:t>
      </w:r>
    </w:p>
    <w:p>
      <w:pPr>
        <w:spacing w:line="400" w:lineRule="exact"/>
        <w:rPr>
          <w:rFonts w:ascii="宋体" w:hAnsi="宋体"/>
          <w:bCs/>
          <w:sz w:val="24"/>
          <w:szCs w:val="24"/>
        </w:rPr>
      </w:pPr>
      <w:r>
        <w:rPr>
          <w:rFonts w:hint="eastAsia" w:ascii="宋体" w:hAnsi="宋体"/>
          <w:bCs/>
          <w:sz w:val="24"/>
          <w:szCs w:val="24"/>
        </w:rPr>
        <w:t xml:space="preserve">    （</w:t>
      </w:r>
      <w:r>
        <w:rPr>
          <w:rFonts w:hint="eastAsia" w:ascii="宋体" w:hAnsi="宋体"/>
          <w:bCs/>
          <w:sz w:val="24"/>
          <w:szCs w:val="24"/>
          <w:lang w:val="en-US" w:eastAsia="zh-CN"/>
        </w:rPr>
        <w:t>3</w:t>
      </w:r>
      <w:r>
        <w:rPr>
          <w:rFonts w:hint="eastAsia" w:ascii="宋体" w:hAnsi="宋体"/>
          <w:bCs/>
          <w:sz w:val="24"/>
          <w:szCs w:val="24"/>
        </w:rPr>
        <w:t>）高质量选聘任课老师，通过试讲，从本校选用最优秀的高级职称的教师担任教学工作，每学期初建立联络图方便教师间交流。同时学院还进一步提高任课教师课时费标准并适当降低了承担本科教学任务的老师工作量，使老师有更多的精力做好本科的教学准备。</w:t>
      </w:r>
    </w:p>
    <w:p>
      <w:pPr>
        <w:spacing w:line="400" w:lineRule="exact"/>
        <w:rPr>
          <w:rFonts w:ascii="宋体" w:hAnsi="宋体"/>
          <w:bCs/>
          <w:sz w:val="24"/>
          <w:szCs w:val="24"/>
        </w:rPr>
      </w:pPr>
      <w:r>
        <w:rPr>
          <w:rFonts w:hint="eastAsia" w:ascii="宋体" w:hAnsi="宋体"/>
          <w:bCs/>
          <w:sz w:val="24"/>
          <w:szCs w:val="24"/>
        </w:rPr>
        <w:t xml:space="preserve">    2.加强监督检查，规范常规教学管理</w:t>
      </w:r>
    </w:p>
    <w:p>
      <w:pPr>
        <w:spacing w:line="400" w:lineRule="exact"/>
        <w:ind w:firstLine="480" w:firstLineChars="200"/>
        <w:rPr>
          <w:rFonts w:hint="eastAsia" w:ascii="宋体" w:hAnsi="宋体"/>
          <w:bCs/>
          <w:sz w:val="24"/>
          <w:szCs w:val="24"/>
        </w:rPr>
      </w:pPr>
      <w:r>
        <w:rPr>
          <w:rFonts w:hint="eastAsia" w:ascii="宋体" w:hAnsi="宋体"/>
          <w:bCs/>
          <w:sz w:val="24"/>
          <w:szCs w:val="24"/>
        </w:rPr>
        <w:t>（1）</w:t>
      </w:r>
      <w:r>
        <w:rPr>
          <w:rFonts w:hint="eastAsia" w:ascii="宋体" w:hAnsi="宋体"/>
          <w:bCs/>
          <w:sz w:val="24"/>
          <w:szCs w:val="24"/>
          <w:lang w:eastAsia="zh-CN"/>
        </w:rPr>
        <w:t>教务部</w:t>
      </w:r>
      <w:r>
        <w:rPr>
          <w:rFonts w:hint="eastAsia" w:ascii="宋体" w:hAnsi="宋体"/>
          <w:bCs/>
          <w:sz w:val="24"/>
          <w:szCs w:val="24"/>
        </w:rPr>
        <w:t>在学期初组织召开技能型本科班协调会，布置本学期教育教学工作任务，提出具体要求。每月定期组织召开任课教师教学情况交流会，对学生的学习情况、思想问题等进行沟通，对老师提出的一些问题及时解答，对整体教学工作进行推动。</w:t>
      </w:r>
    </w:p>
    <w:p>
      <w:pPr>
        <w:spacing w:line="400" w:lineRule="exact"/>
        <w:ind w:firstLine="480" w:firstLineChars="200"/>
        <w:rPr>
          <w:rFonts w:ascii="宋体" w:hAnsi="宋体"/>
          <w:bCs/>
          <w:sz w:val="24"/>
          <w:szCs w:val="24"/>
        </w:rPr>
      </w:pPr>
      <w:r>
        <w:rPr>
          <w:rFonts w:hint="eastAsia" w:ascii="宋体" w:hAnsi="宋体"/>
          <w:bCs/>
          <w:sz w:val="24"/>
          <w:szCs w:val="24"/>
        </w:rPr>
        <w:t>（2）为了确保教学质量，定期召开学委例会，及时反馈教师上课与学生上课的情况，发现问题及时处理。</w:t>
      </w:r>
    </w:p>
    <w:p>
      <w:pPr>
        <w:spacing w:line="400" w:lineRule="exact"/>
        <w:ind w:firstLine="480" w:firstLineChars="200"/>
        <w:rPr>
          <w:rFonts w:ascii="宋体" w:hAnsi="宋体"/>
          <w:bCs/>
          <w:sz w:val="24"/>
          <w:szCs w:val="24"/>
        </w:rPr>
      </w:pPr>
      <w:r>
        <w:rPr>
          <w:rFonts w:hint="eastAsia" w:ascii="宋体" w:hAnsi="宋体"/>
          <w:bCs/>
          <w:sz w:val="24"/>
          <w:szCs w:val="24"/>
        </w:rPr>
        <w:t>（</w:t>
      </w:r>
      <w:r>
        <w:rPr>
          <w:rFonts w:hint="eastAsia" w:ascii="宋体" w:hAnsi="宋体"/>
          <w:bCs/>
          <w:sz w:val="24"/>
          <w:szCs w:val="24"/>
          <w:lang w:val="en-US" w:eastAsia="zh-CN"/>
        </w:rPr>
        <w:t>3</w:t>
      </w:r>
      <w:r>
        <w:rPr>
          <w:rFonts w:hint="eastAsia" w:ascii="宋体" w:hAnsi="宋体"/>
          <w:bCs/>
          <w:sz w:val="24"/>
          <w:szCs w:val="24"/>
        </w:rPr>
        <w:t>）</w:t>
      </w:r>
      <w:r>
        <w:rPr>
          <w:rFonts w:hint="eastAsia" w:ascii="宋体" w:hAnsi="宋体"/>
          <w:bCs/>
          <w:sz w:val="24"/>
          <w:szCs w:val="24"/>
          <w:lang w:eastAsia="zh-CN"/>
        </w:rPr>
        <w:t>教务部、二级</w:t>
      </w:r>
      <w:r>
        <w:rPr>
          <w:rFonts w:hint="eastAsia" w:ascii="宋体" w:hAnsi="宋体"/>
          <w:bCs/>
          <w:sz w:val="24"/>
          <w:szCs w:val="24"/>
        </w:rPr>
        <w:t>学院定期组织相关人员进行听课，及时了解教师教学进度和教学方法，了解学生的学习和接受情况。</w:t>
      </w:r>
    </w:p>
    <w:p>
      <w:pPr>
        <w:spacing w:line="400" w:lineRule="exact"/>
        <w:ind w:firstLine="480" w:firstLineChars="200"/>
        <w:rPr>
          <w:rFonts w:hint="eastAsia" w:ascii="宋体" w:hAnsi="宋体"/>
          <w:bCs/>
          <w:sz w:val="24"/>
          <w:szCs w:val="24"/>
        </w:rPr>
      </w:pPr>
      <w:r>
        <w:rPr>
          <w:rFonts w:hint="eastAsia" w:ascii="宋体" w:hAnsi="宋体"/>
          <w:bCs/>
          <w:sz w:val="24"/>
          <w:szCs w:val="24"/>
        </w:rPr>
        <w:t>（</w:t>
      </w:r>
      <w:r>
        <w:rPr>
          <w:rFonts w:hint="eastAsia" w:ascii="宋体" w:hAnsi="宋体"/>
          <w:bCs/>
          <w:sz w:val="24"/>
          <w:szCs w:val="24"/>
          <w:lang w:val="en-US" w:eastAsia="zh-CN"/>
        </w:rPr>
        <w:t>4</w:t>
      </w:r>
      <w:r>
        <w:rPr>
          <w:rFonts w:hint="eastAsia" w:ascii="宋体" w:hAnsi="宋体"/>
          <w:bCs/>
          <w:sz w:val="24"/>
          <w:szCs w:val="24"/>
        </w:rPr>
        <w:t>）做好技能型本科期末试卷的审核和考试工作，高质量完成期末前各项工作。</w:t>
      </w:r>
    </w:p>
    <w:p>
      <w:pPr>
        <w:spacing w:line="400" w:lineRule="exact"/>
        <w:ind w:firstLine="480" w:firstLineChars="200"/>
        <w:rPr>
          <w:rFonts w:hint="default" w:ascii="宋体" w:hAnsi="宋体" w:eastAsia="宋体"/>
          <w:bCs/>
          <w:sz w:val="24"/>
          <w:szCs w:val="24"/>
          <w:lang w:val="en-US" w:eastAsia="zh-CN"/>
        </w:rPr>
      </w:pPr>
      <w:r>
        <w:rPr>
          <w:rFonts w:hint="eastAsia" w:ascii="宋体" w:hAnsi="宋体"/>
          <w:bCs/>
          <w:sz w:val="24"/>
          <w:szCs w:val="24"/>
          <w:lang w:eastAsia="zh-CN"/>
        </w:rPr>
        <w:t>（</w:t>
      </w:r>
      <w:r>
        <w:rPr>
          <w:rFonts w:hint="eastAsia" w:ascii="宋体" w:hAnsi="宋体"/>
          <w:bCs/>
          <w:sz w:val="24"/>
          <w:szCs w:val="24"/>
          <w:lang w:val="en-US" w:eastAsia="zh-CN"/>
        </w:rPr>
        <w:t>5）中德应用技术技术大学从2020年开始启用新的毕业设计管理平台，平台使用过程中不断完善功能，平时积极与中德联系，加强沟通，发现问题及时联系，较为顺利平缓的送别了2020级毕业生。</w:t>
      </w:r>
    </w:p>
    <w:p>
      <w:pPr>
        <w:spacing w:line="400" w:lineRule="exact"/>
        <w:ind w:firstLine="480" w:firstLineChars="200"/>
        <w:rPr>
          <w:rFonts w:ascii="宋体" w:hAnsi="宋体"/>
          <w:bCs/>
          <w:sz w:val="24"/>
          <w:szCs w:val="24"/>
        </w:rPr>
      </w:pPr>
      <w:r>
        <w:rPr>
          <w:rFonts w:hint="eastAsia" w:ascii="宋体" w:hAnsi="宋体"/>
          <w:bCs/>
          <w:sz w:val="24"/>
          <w:szCs w:val="24"/>
        </w:rPr>
        <w:t>（二）学生管理工作</w:t>
      </w:r>
    </w:p>
    <w:p>
      <w:pPr>
        <w:spacing w:line="400" w:lineRule="exact"/>
        <w:ind w:firstLine="480" w:firstLineChars="200"/>
        <w:rPr>
          <w:rFonts w:hint="eastAsia" w:ascii="宋体" w:hAnsi="宋体"/>
          <w:bCs/>
          <w:sz w:val="24"/>
          <w:szCs w:val="24"/>
          <w:lang w:val="en-US" w:eastAsia="zh-CN"/>
        </w:rPr>
      </w:pPr>
      <w:r>
        <w:rPr>
          <w:rFonts w:hint="eastAsia" w:ascii="宋体" w:hAnsi="宋体"/>
          <w:bCs/>
          <w:color w:val="auto"/>
          <w:sz w:val="24"/>
          <w:szCs w:val="24"/>
          <w:lang w:val="en-US" w:eastAsia="zh-CN"/>
        </w:rPr>
        <w:t>截止到现在，</w:t>
      </w:r>
      <w:r>
        <w:rPr>
          <w:rFonts w:hint="eastAsia" w:asciiTheme="minorEastAsia" w:hAnsiTheme="minorEastAsia" w:eastAsiaTheme="minorEastAsia"/>
          <w:bCs/>
          <w:sz w:val="24"/>
          <w:szCs w:val="24"/>
        </w:rPr>
        <w:t>模具设计与制造</w:t>
      </w:r>
      <w:r>
        <w:rPr>
          <w:rFonts w:hint="eastAsia" w:asciiTheme="minorEastAsia" w:hAnsiTheme="minorEastAsia" w:eastAsiaTheme="minorEastAsia"/>
          <w:bCs/>
          <w:sz w:val="24"/>
          <w:szCs w:val="24"/>
          <w:lang w:val="en-US" w:eastAsia="zh-CN"/>
        </w:rPr>
        <w:t>方向</w:t>
      </w:r>
      <w:r>
        <w:rPr>
          <w:rFonts w:hint="eastAsia" w:ascii="宋体" w:hAnsi="宋体"/>
          <w:bCs/>
          <w:color w:val="auto"/>
          <w:sz w:val="24"/>
          <w:szCs w:val="24"/>
        </w:rPr>
        <w:t>本科班学生</w:t>
      </w:r>
      <w:r>
        <w:rPr>
          <w:rFonts w:hint="eastAsia" w:ascii="宋体" w:hAnsi="宋体"/>
          <w:bCs/>
          <w:color w:val="auto"/>
          <w:sz w:val="24"/>
          <w:szCs w:val="24"/>
          <w:lang w:val="en-US" w:eastAsia="zh-CN"/>
        </w:rPr>
        <w:t>在校生136名，其中有正式党员2名，2名同学递交了</w:t>
      </w:r>
      <w:r>
        <w:rPr>
          <w:rFonts w:hint="eastAsia" w:ascii="宋体" w:hAnsi="宋体"/>
          <w:bCs/>
          <w:color w:val="auto"/>
          <w:sz w:val="24"/>
          <w:szCs w:val="24"/>
        </w:rPr>
        <w:t>入党申</w:t>
      </w:r>
      <w:r>
        <w:rPr>
          <w:rFonts w:hint="eastAsia" w:ascii="宋体" w:hAnsi="宋体"/>
          <w:bCs/>
          <w:sz w:val="24"/>
          <w:szCs w:val="24"/>
        </w:rPr>
        <w:t>请书</w:t>
      </w:r>
      <w:r>
        <w:rPr>
          <w:rFonts w:hint="eastAsia" w:ascii="宋体" w:hAnsi="宋体"/>
          <w:bCs/>
          <w:sz w:val="24"/>
          <w:szCs w:val="24"/>
          <w:lang w:eastAsia="zh-CN"/>
        </w:rPr>
        <w:t>，</w:t>
      </w:r>
      <w:r>
        <w:rPr>
          <w:rFonts w:hint="eastAsia" w:ascii="宋体" w:hAnsi="宋体"/>
          <w:bCs/>
          <w:sz w:val="24"/>
          <w:szCs w:val="24"/>
          <w:highlight w:val="none"/>
        </w:rPr>
        <w:t>机械电子工程本科班</w:t>
      </w:r>
      <w:r>
        <w:rPr>
          <w:rFonts w:hint="eastAsia" w:ascii="宋体" w:hAnsi="宋体"/>
          <w:bCs/>
          <w:color w:val="auto"/>
          <w:sz w:val="24"/>
          <w:szCs w:val="24"/>
        </w:rPr>
        <w:t>学生</w:t>
      </w:r>
      <w:r>
        <w:rPr>
          <w:rFonts w:hint="eastAsia" w:ascii="宋体" w:hAnsi="宋体"/>
          <w:bCs/>
          <w:color w:val="auto"/>
          <w:sz w:val="24"/>
          <w:szCs w:val="24"/>
          <w:lang w:val="en-US" w:eastAsia="zh-CN"/>
        </w:rPr>
        <w:t>在校生60名，其中有正式党员4名，4名积极分子</w:t>
      </w:r>
      <w:r>
        <w:rPr>
          <w:rFonts w:hint="eastAsia" w:ascii="宋体" w:hAnsi="宋体"/>
          <w:bCs/>
          <w:sz w:val="24"/>
          <w:szCs w:val="24"/>
          <w:lang w:eastAsia="zh-CN"/>
        </w:rPr>
        <w:t>，</w:t>
      </w:r>
      <w:r>
        <w:rPr>
          <w:rFonts w:hint="eastAsia" w:ascii="宋体" w:hAnsi="宋体"/>
          <w:bCs/>
          <w:sz w:val="24"/>
          <w:szCs w:val="24"/>
          <w:lang w:val="en-US" w:eastAsia="zh-CN"/>
        </w:rPr>
        <w:t>40名团员。</w:t>
      </w:r>
    </w:p>
    <w:p>
      <w:pPr>
        <w:spacing w:line="400" w:lineRule="exact"/>
        <w:ind w:firstLine="480" w:firstLineChars="200"/>
        <w:rPr>
          <w:rFonts w:hint="eastAsia" w:ascii="宋体" w:hAnsi="宋体"/>
          <w:bCs/>
          <w:sz w:val="24"/>
          <w:szCs w:val="24"/>
        </w:rPr>
      </w:pPr>
      <w:r>
        <w:rPr>
          <w:rFonts w:hint="eastAsia" w:ascii="宋体" w:hAnsi="宋体"/>
          <w:bCs/>
          <w:sz w:val="24"/>
          <w:szCs w:val="24"/>
          <w:lang w:val="en-US" w:eastAsia="zh-CN"/>
        </w:rPr>
        <w:t>在学</w:t>
      </w:r>
      <w:r>
        <w:rPr>
          <w:rFonts w:hint="eastAsia" w:ascii="宋体" w:hAnsi="宋体"/>
          <w:bCs/>
          <w:sz w:val="24"/>
          <w:szCs w:val="24"/>
        </w:rPr>
        <w:t>院团委的指导下，围绕学校工作要点，脚踏实地地深入开展了一系列教育活动。本着服从学校管理，利于德育工作，利于学生成长的原则，开展了一些实实在在的工作，营造了良好的校园文化氛围，并积极探索学校团建工作特点，走出了一条适合本科班团建工作的新路子，取得了一定的成绩，为做好学生管理工作、开展学生各项活动奠定了很好的基础。</w:t>
      </w:r>
    </w:p>
    <w:p>
      <w:pPr>
        <w:spacing w:line="400" w:lineRule="exact"/>
        <w:ind w:firstLine="480" w:firstLineChars="200"/>
        <w:rPr>
          <w:rFonts w:hint="eastAsia" w:ascii="宋体" w:hAnsi="宋体"/>
          <w:bCs/>
          <w:sz w:val="24"/>
          <w:szCs w:val="24"/>
        </w:rPr>
      </w:pPr>
      <w:r>
        <w:rPr>
          <w:rFonts w:hint="eastAsia" w:asciiTheme="minorEastAsia" w:hAnsiTheme="minorEastAsia" w:eastAsiaTheme="minorEastAsia"/>
          <w:bCs/>
          <w:sz w:val="24"/>
          <w:szCs w:val="24"/>
        </w:rPr>
        <w:t>模具设计与制造</w:t>
      </w:r>
      <w:r>
        <w:rPr>
          <w:rFonts w:hint="eastAsia" w:asciiTheme="minorEastAsia" w:hAnsiTheme="minorEastAsia" w:eastAsiaTheme="minorEastAsia"/>
          <w:bCs/>
          <w:sz w:val="24"/>
          <w:szCs w:val="24"/>
          <w:lang w:val="en-US" w:eastAsia="zh-CN"/>
        </w:rPr>
        <w:t>方向</w:t>
      </w:r>
      <w:r>
        <w:rPr>
          <w:rFonts w:hint="eastAsia" w:ascii="宋体" w:hAnsi="宋体"/>
          <w:bCs/>
          <w:color w:val="auto"/>
          <w:sz w:val="24"/>
          <w:szCs w:val="24"/>
        </w:rPr>
        <w:t>本科</w:t>
      </w:r>
      <w:r>
        <w:rPr>
          <w:rFonts w:hint="eastAsia" w:ascii="宋体" w:hAnsi="宋体" w:eastAsia="宋体" w:cs="Times New Roman"/>
          <w:bCs/>
          <w:sz w:val="24"/>
          <w:szCs w:val="24"/>
        </w:rPr>
        <w:t>2020级本科班共有39名同学，其中有4名贫困生。1名同学获得国家励志奖学金，共计5000元；2名同学获得国家一等助学金，共计7600元；1名同学获得国家二等助学金，共计6200元；1名同学获得国家三等助学金；共计2500元。2021级本科班共有30名同学，其中有5名贫困生。1名同学获得国家一等助学金，共计3600元；3名同学获得国家二等助学金，共计9300元；1名同学获得国家三等助学金；共计2500元。</w:t>
      </w:r>
      <w:r>
        <w:rPr>
          <w:rFonts w:hint="eastAsia" w:ascii="宋体" w:hAnsi="宋体"/>
          <w:bCs/>
          <w:sz w:val="24"/>
          <w:szCs w:val="24"/>
        </w:rPr>
        <w:t>202</w:t>
      </w:r>
      <w:r>
        <w:rPr>
          <w:rFonts w:hint="eastAsia" w:ascii="宋体" w:hAnsi="宋体"/>
          <w:bCs/>
          <w:sz w:val="24"/>
          <w:szCs w:val="24"/>
          <w:lang w:val="en-US" w:eastAsia="zh-CN"/>
        </w:rPr>
        <w:t>3</w:t>
      </w:r>
      <w:r>
        <w:rPr>
          <w:rFonts w:hint="eastAsia" w:ascii="宋体" w:hAnsi="宋体"/>
          <w:bCs/>
          <w:sz w:val="24"/>
          <w:szCs w:val="24"/>
        </w:rPr>
        <w:t>级本科班共有30名同学，其中有</w:t>
      </w:r>
      <w:r>
        <w:rPr>
          <w:rFonts w:hint="eastAsia" w:ascii="宋体" w:hAnsi="宋体"/>
          <w:bCs/>
          <w:sz w:val="24"/>
          <w:szCs w:val="24"/>
          <w:lang w:val="en-US" w:eastAsia="zh-CN"/>
        </w:rPr>
        <w:t>8</w:t>
      </w:r>
      <w:r>
        <w:rPr>
          <w:rFonts w:hint="eastAsia" w:ascii="宋体" w:hAnsi="宋体"/>
          <w:bCs/>
          <w:sz w:val="24"/>
          <w:szCs w:val="24"/>
        </w:rPr>
        <w:t>名贫困生。</w:t>
      </w:r>
      <w:r>
        <w:rPr>
          <w:rFonts w:hint="eastAsia" w:ascii="宋体" w:hAnsi="宋体"/>
          <w:bCs/>
          <w:sz w:val="24"/>
          <w:szCs w:val="24"/>
          <w:lang w:val="en-US" w:eastAsia="zh-CN"/>
        </w:rPr>
        <w:t>2</w:t>
      </w:r>
      <w:r>
        <w:rPr>
          <w:rFonts w:hint="eastAsia" w:ascii="宋体" w:hAnsi="宋体"/>
          <w:bCs/>
          <w:sz w:val="24"/>
          <w:szCs w:val="24"/>
        </w:rPr>
        <w:t>名同学获得国家一等助学金，共计</w:t>
      </w:r>
      <w:r>
        <w:rPr>
          <w:rFonts w:hint="eastAsia" w:ascii="宋体" w:hAnsi="宋体"/>
          <w:bCs/>
          <w:sz w:val="24"/>
          <w:szCs w:val="24"/>
          <w:lang w:val="en-US" w:eastAsia="zh-CN"/>
        </w:rPr>
        <w:t>76</w:t>
      </w:r>
      <w:r>
        <w:rPr>
          <w:rFonts w:hint="eastAsia" w:ascii="宋体" w:hAnsi="宋体"/>
          <w:bCs/>
          <w:sz w:val="24"/>
          <w:szCs w:val="24"/>
        </w:rPr>
        <w:t>00元；</w:t>
      </w:r>
      <w:r>
        <w:rPr>
          <w:rFonts w:hint="eastAsia" w:ascii="宋体" w:hAnsi="宋体"/>
          <w:bCs/>
          <w:sz w:val="24"/>
          <w:szCs w:val="24"/>
          <w:lang w:val="en-US" w:eastAsia="zh-CN"/>
        </w:rPr>
        <w:t>3</w:t>
      </w:r>
      <w:r>
        <w:rPr>
          <w:rFonts w:hint="eastAsia" w:ascii="宋体" w:hAnsi="宋体"/>
          <w:bCs/>
          <w:sz w:val="24"/>
          <w:szCs w:val="24"/>
        </w:rPr>
        <w:t>名同学获得国家二等助学金，共计</w:t>
      </w:r>
      <w:r>
        <w:rPr>
          <w:rFonts w:hint="eastAsia" w:ascii="宋体" w:hAnsi="宋体"/>
          <w:bCs/>
          <w:sz w:val="24"/>
          <w:szCs w:val="24"/>
          <w:lang w:val="en-US" w:eastAsia="zh-CN"/>
        </w:rPr>
        <w:t>93</w:t>
      </w:r>
      <w:r>
        <w:rPr>
          <w:rFonts w:hint="eastAsia" w:ascii="宋体" w:hAnsi="宋体"/>
          <w:bCs/>
          <w:sz w:val="24"/>
          <w:szCs w:val="24"/>
        </w:rPr>
        <w:t>00元；</w:t>
      </w:r>
      <w:r>
        <w:rPr>
          <w:rFonts w:hint="eastAsia" w:ascii="宋体" w:hAnsi="宋体"/>
          <w:bCs/>
          <w:sz w:val="24"/>
          <w:szCs w:val="24"/>
          <w:lang w:val="en-US" w:eastAsia="zh-CN"/>
        </w:rPr>
        <w:t>3</w:t>
      </w:r>
      <w:r>
        <w:rPr>
          <w:rFonts w:hint="eastAsia" w:ascii="宋体" w:hAnsi="宋体"/>
          <w:bCs/>
          <w:sz w:val="24"/>
          <w:szCs w:val="24"/>
        </w:rPr>
        <w:t>名同学获得国家三等助学金；共计</w:t>
      </w:r>
      <w:r>
        <w:rPr>
          <w:rFonts w:hint="eastAsia" w:ascii="宋体" w:hAnsi="宋体"/>
          <w:bCs/>
          <w:sz w:val="24"/>
          <w:szCs w:val="24"/>
          <w:lang w:val="en-US" w:eastAsia="zh-CN"/>
        </w:rPr>
        <w:t>7</w:t>
      </w:r>
      <w:r>
        <w:rPr>
          <w:rFonts w:hint="eastAsia" w:ascii="宋体" w:hAnsi="宋体"/>
          <w:bCs/>
          <w:sz w:val="24"/>
          <w:szCs w:val="24"/>
        </w:rPr>
        <w:t>5</w:t>
      </w:r>
      <w:r>
        <w:rPr>
          <w:rFonts w:hint="eastAsia" w:ascii="宋体" w:hAnsi="宋体"/>
          <w:bCs/>
          <w:sz w:val="24"/>
          <w:szCs w:val="24"/>
          <w:lang w:val="en-US" w:eastAsia="zh-CN"/>
        </w:rPr>
        <w:t>0</w:t>
      </w:r>
      <w:r>
        <w:rPr>
          <w:rFonts w:hint="eastAsia" w:ascii="宋体" w:hAnsi="宋体"/>
          <w:bCs/>
          <w:sz w:val="24"/>
          <w:szCs w:val="24"/>
        </w:rPr>
        <w:t>0元。</w:t>
      </w:r>
    </w:p>
    <w:p>
      <w:pPr>
        <w:spacing w:line="400" w:lineRule="exact"/>
        <w:ind w:firstLine="480" w:firstLineChars="200"/>
        <w:rPr>
          <w:rFonts w:hint="default" w:ascii="宋体" w:hAnsi="宋体"/>
          <w:bCs/>
          <w:sz w:val="24"/>
          <w:szCs w:val="24"/>
          <w:highlight w:val="none"/>
          <w:lang w:val="en-US" w:eastAsia="zh-CN"/>
        </w:rPr>
      </w:pPr>
      <w:r>
        <w:rPr>
          <w:rFonts w:hint="eastAsia" w:ascii="宋体" w:hAnsi="宋体"/>
          <w:bCs/>
          <w:sz w:val="24"/>
          <w:szCs w:val="24"/>
          <w:highlight w:val="none"/>
        </w:rPr>
        <w:t>机械电子工程本科班</w:t>
      </w:r>
      <w:r>
        <w:rPr>
          <w:rFonts w:hint="eastAsia" w:ascii="宋体" w:hAnsi="宋体"/>
          <w:bCs/>
          <w:sz w:val="24"/>
          <w:szCs w:val="24"/>
          <w:highlight w:val="none"/>
          <w:lang w:val="en-US" w:eastAsia="zh-CN"/>
        </w:rPr>
        <w:t>2022级本科</w:t>
      </w:r>
      <w:r>
        <w:rPr>
          <w:rFonts w:hint="eastAsia" w:ascii="宋体" w:hAnsi="宋体"/>
          <w:bCs/>
          <w:sz w:val="24"/>
          <w:szCs w:val="24"/>
          <w:highlight w:val="none"/>
        </w:rPr>
        <w:t>科班共有</w:t>
      </w:r>
      <w:r>
        <w:rPr>
          <w:rFonts w:hint="eastAsia" w:ascii="宋体" w:hAnsi="宋体"/>
          <w:bCs/>
          <w:sz w:val="24"/>
          <w:szCs w:val="24"/>
          <w:highlight w:val="none"/>
          <w:lang w:val="en-US" w:eastAsia="zh-CN"/>
        </w:rPr>
        <w:t>60</w:t>
      </w:r>
      <w:r>
        <w:rPr>
          <w:rFonts w:hint="eastAsia" w:ascii="宋体" w:hAnsi="宋体"/>
          <w:bCs/>
          <w:sz w:val="24"/>
          <w:szCs w:val="24"/>
          <w:highlight w:val="none"/>
        </w:rPr>
        <w:t>名同学。</w:t>
      </w:r>
      <w:r>
        <w:rPr>
          <w:rFonts w:hint="eastAsia" w:ascii="宋体" w:hAnsi="宋体"/>
          <w:bCs/>
          <w:sz w:val="24"/>
          <w:szCs w:val="24"/>
          <w:highlight w:val="none"/>
          <w:lang w:val="en-US" w:eastAsia="zh-CN"/>
        </w:rPr>
        <w:t>22-23学年共有13名同学先后获得国家励志奖学金、国家一、二三等助学金，共计48000元.</w:t>
      </w:r>
    </w:p>
    <w:p>
      <w:pPr>
        <w:spacing w:line="400" w:lineRule="exact"/>
        <w:ind w:firstLine="480" w:firstLineChars="200"/>
        <w:rPr>
          <w:rFonts w:hint="eastAsia" w:ascii="宋体" w:hAnsi="宋体"/>
          <w:bCs/>
          <w:sz w:val="24"/>
          <w:szCs w:val="24"/>
        </w:rPr>
      </w:pPr>
      <w:r>
        <w:rPr>
          <w:rFonts w:hint="eastAsia" w:ascii="宋体" w:hAnsi="宋体"/>
          <w:bCs/>
          <w:sz w:val="24"/>
          <w:szCs w:val="24"/>
          <w:highlight w:val="none"/>
        </w:rPr>
        <w:t>学院严格执行学生资</w:t>
      </w:r>
      <w:r>
        <w:rPr>
          <w:rFonts w:hint="eastAsia" w:ascii="宋体" w:hAnsi="宋体"/>
          <w:bCs/>
          <w:sz w:val="24"/>
          <w:szCs w:val="24"/>
        </w:rPr>
        <w:t>助文件精神，高度重视困难生的资助工作，本着公开、公正、公平的态度，把资金用在困难学生身上，建立困难生档案，进行跟踪，加强疏导，优化学生心理，让困难学生感受到党和政府、学校的关怀，又激励自己努力学习，以优异的成绩回报社会。</w:t>
      </w:r>
    </w:p>
    <w:p>
      <w:pPr>
        <w:spacing w:line="400" w:lineRule="exact"/>
        <w:ind w:firstLine="480" w:firstLineChars="200"/>
        <w:jc w:val="left"/>
        <w:rPr>
          <w:rFonts w:hint="eastAsia" w:ascii="宋体" w:hAnsi="宋体"/>
          <w:bCs/>
          <w:sz w:val="24"/>
          <w:szCs w:val="24"/>
          <w:lang w:val="en-US" w:eastAsia="zh-CN"/>
        </w:rPr>
      </w:pPr>
      <w:r>
        <w:rPr>
          <w:rFonts w:hint="eastAsia" w:ascii="宋体" w:hAnsi="宋体"/>
          <w:bCs/>
          <w:sz w:val="24"/>
          <w:szCs w:val="24"/>
        </w:rPr>
        <w:t>建立班委管理制度、班级学习制度、班级会议制度、考勤请假制度、财务管理制度、班级奖惩制度以及宿舍公约等，引导规范学生的行为习惯，保证班级的健康发展；开展系列主题班会，如我们在起步、做德才兼备的人才、爱国主义、班级团队建设、控烟工作、</w:t>
      </w:r>
      <w:r>
        <w:rPr>
          <w:rFonts w:hint="eastAsia" w:ascii="宋体" w:hAnsi="宋体"/>
          <w:bCs/>
          <w:sz w:val="24"/>
          <w:szCs w:val="24"/>
          <w:lang w:val="en-US" w:eastAsia="zh-CN"/>
        </w:rPr>
        <w:t>防疫工作</w:t>
      </w:r>
      <w:r>
        <w:rPr>
          <w:rFonts w:hint="eastAsia" w:ascii="宋体" w:hAnsi="宋体"/>
          <w:bCs/>
          <w:sz w:val="24"/>
          <w:szCs w:val="24"/>
        </w:rPr>
        <w:t>、感恩节系列活动，真正从自我做起，打造优秀班级团队；</w:t>
      </w:r>
      <w:r>
        <w:rPr>
          <w:rFonts w:hint="eastAsia" w:ascii="宋体" w:hAnsi="宋体"/>
          <w:bCs/>
          <w:sz w:val="24"/>
          <w:szCs w:val="24"/>
          <w:lang w:val="en-US" w:eastAsia="zh-CN"/>
        </w:rPr>
        <w:t>为了丰富学生的日常活动，在学生中增加了社团活动的机会，在新能源创新社团，老师搭建交流平台，对学生理论和实践动手能力的训练和指导，学习TRIZ理论，培养创业思维，开发创新能力。此外，学生还积极参加消防安全宣传活动、国家安全日宣传活动、预防电信诈骗宣传活动、保护环境卫生 倡导绿色文明——卫生清理活动等。</w:t>
      </w:r>
    </w:p>
    <w:p>
      <w:pPr>
        <w:spacing w:line="240" w:lineRule="auto"/>
        <w:ind w:firstLine="480" w:firstLineChars="200"/>
        <w:jc w:val="center"/>
        <w:rPr>
          <w:rFonts w:hint="eastAsia" w:ascii="宋体" w:hAnsi="宋体"/>
          <w:bCs/>
          <w:sz w:val="24"/>
          <w:szCs w:val="24"/>
          <w:lang w:val="en-US" w:eastAsia="zh-CN"/>
        </w:rPr>
      </w:pPr>
      <w:r>
        <w:rPr>
          <w:sz w:val="24"/>
          <w:szCs w:val="24"/>
        </w:rPr>
        <w:drawing>
          <wp:inline distT="0" distB="0" distL="114300" distR="114300">
            <wp:extent cx="1591310" cy="2428240"/>
            <wp:effectExtent l="9525" t="9525" r="19685" b="1841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4"/>
                    <a:stretch>
                      <a:fillRect/>
                    </a:stretch>
                  </pic:blipFill>
                  <pic:spPr>
                    <a:xfrm rot="16200000">
                      <a:off x="0" y="0"/>
                      <a:ext cx="1591310" cy="2428240"/>
                    </a:xfrm>
                    <a:prstGeom prst="rect">
                      <a:avLst/>
                    </a:prstGeom>
                    <a:ln>
                      <a:solidFill>
                        <a:srgbClr val="FF0000"/>
                      </a:solidFill>
                    </a:ln>
                  </pic:spPr>
                </pic:pic>
              </a:graphicData>
            </a:graphic>
          </wp:inline>
        </w:drawing>
      </w:r>
      <w:r>
        <w:rPr>
          <w:sz w:val="24"/>
          <w:szCs w:val="24"/>
        </w:rPr>
        <w:drawing>
          <wp:inline distT="0" distB="0" distL="114300" distR="114300">
            <wp:extent cx="2455545" cy="1597660"/>
            <wp:effectExtent l="9525" t="9525" r="11430" b="1206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5"/>
                    <a:srcRect t="13284"/>
                    <a:stretch>
                      <a:fillRect/>
                    </a:stretch>
                  </pic:blipFill>
                  <pic:spPr>
                    <a:xfrm>
                      <a:off x="0" y="0"/>
                      <a:ext cx="2455545" cy="1597660"/>
                    </a:xfrm>
                    <a:prstGeom prst="rect">
                      <a:avLst/>
                    </a:prstGeom>
                    <a:ln>
                      <a:solidFill>
                        <a:srgbClr val="FF0000"/>
                      </a:solidFill>
                    </a:ln>
                  </pic:spPr>
                </pic:pic>
              </a:graphicData>
            </a:graphic>
          </wp:inline>
        </w:drawing>
      </w:r>
    </w:p>
    <w:p>
      <w:pPr>
        <w:spacing w:line="400" w:lineRule="exact"/>
        <w:ind w:firstLine="420" w:firstLineChars="200"/>
        <w:jc w:val="center"/>
        <w:rPr>
          <w:rFonts w:hint="eastAsia" w:ascii="宋体" w:hAnsi="宋体"/>
          <w:bCs/>
          <w:sz w:val="21"/>
          <w:szCs w:val="21"/>
          <w:lang w:val="en-US" w:eastAsia="zh-CN"/>
        </w:rPr>
      </w:pPr>
      <w:r>
        <w:rPr>
          <w:rFonts w:hint="eastAsia" w:ascii="宋体" w:hAnsi="宋体"/>
          <w:bCs/>
          <w:sz w:val="21"/>
          <w:szCs w:val="21"/>
          <w:lang w:val="en-US" w:eastAsia="zh-CN"/>
        </w:rPr>
        <w:t>图1 学生参与社团活动</w:t>
      </w:r>
    </w:p>
    <w:p>
      <w:pPr>
        <w:spacing w:line="240" w:lineRule="auto"/>
        <w:ind w:firstLine="480" w:firstLineChars="200"/>
        <w:jc w:val="center"/>
        <w:rPr>
          <w:rFonts w:hint="eastAsia" w:ascii="宋体" w:hAnsi="宋体"/>
          <w:bCs/>
          <w:sz w:val="24"/>
          <w:szCs w:val="24"/>
          <w:lang w:val="en-US" w:eastAsia="zh-CN"/>
        </w:rPr>
      </w:pPr>
      <w:r>
        <w:rPr>
          <w:sz w:val="24"/>
          <w:szCs w:val="24"/>
        </w:rPr>
        <w:drawing>
          <wp:inline distT="0" distB="0" distL="0" distR="0">
            <wp:extent cx="1490980" cy="2225040"/>
            <wp:effectExtent l="9525" t="9525" r="23495" b="13335"/>
            <wp:docPr id="1622775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75403"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t="12142" b="3473"/>
                    <a:stretch>
                      <a:fillRect/>
                    </a:stretch>
                  </pic:blipFill>
                  <pic:spPr>
                    <a:xfrm>
                      <a:off x="0" y="0"/>
                      <a:ext cx="1490980" cy="2225040"/>
                    </a:xfrm>
                    <a:prstGeom prst="rect">
                      <a:avLst/>
                    </a:prstGeom>
                    <a:noFill/>
                    <a:ln>
                      <a:solidFill>
                        <a:srgbClr val="FF0000"/>
                      </a:solidFill>
                    </a:ln>
                  </pic:spPr>
                </pic:pic>
              </a:graphicData>
            </a:graphic>
          </wp:inline>
        </w:drawing>
      </w:r>
      <w:r>
        <w:rPr>
          <w:sz w:val="24"/>
          <w:szCs w:val="24"/>
        </w:rPr>
        <w:drawing>
          <wp:inline distT="0" distB="0" distL="0" distR="0">
            <wp:extent cx="2965450" cy="2223770"/>
            <wp:effectExtent l="9525" t="9525" r="15875" b="14605"/>
            <wp:docPr id="11474156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15668"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65450" cy="2223770"/>
                    </a:xfrm>
                    <a:prstGeom prst="rect">
                      <a:avLst/>
                    </a:prstGeom>
                    <a:noFill/>
                    <a:ln>
                      <a:solidFill>
                        <a:srgbClr val="FF0000"/>
                      </a:solidFill>
                    </a:ln>
                  </pic:spPr>
                </pic:pic>
              </a:graphicData>
            </a:graphic>
          </wp:inline>
        </w:drawing>
      </w:r>
    </w:p>
    <w:p>
      <w:pPr>
        <w:spacing w:line="400" w:lineRule="exact"/>
        <w:ind w:firstLine="630" w:firstLineChars="300"/>
        <w:jc w:val="left"/>
        <w:rPr>
          <w:rFonts w:hint="default" w:ascii="宋体" w:hAnsi="宋体"/>
          <w:bCs/>
          <w:sz w:val="21"/>
          <w:szCs w:val="21"/>
          <w:lang w:val="en-US" w:eastAsia="zh-CN"/>
        </w:rPr>
      </w:pPr>
      <w:r>
        <w:rPr>
          <w:rFonts w:hint="eastAsia"/>
          <w:sz w:val="21"/>
          <w:szCs w:val="21"/>
          <w:lang w:val="en-US" w:eastAsia="zh-CN"/>
        </w:rPr>
        <w:t xml:space="preserve">图2 </w:t>
      </w:r>
      <w:r>
        <w:rPr>
          <w:rFonts w:hint="eastAsia"/>
          <w:sz w:val="21"/>
          <w:szCs w:val="21"/>
        </w:rPr>
        <w:t>阳光体育篮球竞赛项目</w:t>
      </w:r>
      <w:r>
        <w:rPr>
          <w:rFonts w:hint="eastAsia"/>
          <w:sz w:val="21"/>
          <w:szCs w:val="21"/>
          <w:lang w:val="en-US" w:eastAsia="zh-CN"/>
        </w:rPr>
        <w:t>第</w:t>
      </w:r>
      <w:r>
        <w:rPr>
          <w:rFonts w:hint="eastAsia"/>
          <w:sz w:val="21"/>
          <w:szCs w:val="21"/>
        </w:rPr>
        <w:t>一名</w:t>
      </w:r>
      <w:r>
        <w:rPr>
          <w:rFonts w:hint="eastAsia"/>
          <w:sz w:val="21"/>
          <w:szCs w:val="21"/>
          <w:lang w:val="en-US" w:eastAsia="zh-CN"/>
        </w:rPr>
        <w:t xml:space="preserve">         图3 </w:t>
      </w:r>
      <w:r>
        <w:rPr>
          <w:rFonts w:hint="eastAsia"/>
          <w:sz w:val="21"/>
          <w:szCs w:val="21"/>
        </w:rPr>
        <w:t>飞鸽杯活动5KM完赛</w:t>
      </w:r>
    </w:p>
    <w:p>
      <w:pPr>
        <w:spacing w:line="400" w:lineRule="exact"/>
        <w:ind w:firstLine="480" w:firstLineChars="200"/>
        <w:rPr>
          <w:rFonts w:ascii="宋体" w:hAnsi="宋体"/>
          <w:bCs/>
          <w:sz w:val="24"/>
          <w:szCs w:val="24"/>
        </w:rPr>
      </w:pPr>
      <w:r>
        <w:rPr>
          <w:rFonts w:hint="eastAsia" w:ascii="宋体" w:hAnsi="宋体"/>
          <w:bCs/>
          <w:sz w:val="24"/>
          <w:szCs w:val="24"/>
        </w:rPr>
        <w:t>五、学生学习效果</w:t>
      </w:r>
    </w:p>
    <w:p>
      <w:pPr>
        <w:spacing w:line="400" w:lineRule="exact"/>
        <w:ind w:firstLine="480" w:firstLineChars="200"/>
        <w:rPr>
          <w:rFonts w:hint="default" w:ascii="宋体" w:hAnsi="宋体"/>
          <w:bCs/>
          <w:sz w:val="24"/>
          <w:szCs w:val="24"/>
          <w:lang w:val="en-US" w:eastAsia="zh-CN"/>
        </w:rPr>
      </w:pPr>
      <w:r>
        <w:rPr>
          <w:rFonts w:hint="eastAsia" w:ascii="宋体" w:hAnsi="宋体"/>
          <w:bCs/>
          <w:sz w:val="24"/>
          <w:szCs w:val="24"/>
        </w:rPr>
        <w:t>学生</w:t>
      </w:r>
      <w:r>
        <w:rPr>
          <w:rFonts w:hint="eastAsia" w:ascii="宋体" w:hAnsi="宋体"/>
          <w:bCs/>
          <w:sz w:val="24"/>
          <w:szCs w:val="24"/>
          <w:lang w:eastAsia="zh-CN"/>
        </w:rPr>
        <w:t>在轻工</w:t>
      </w:r>
      <w:r>
        <w:rPr>
          <w:rFonts w:hint="eastAsia" w:ascii="宋体" w:hAnsi="宋体"/>
          <w:bCs/>
          <w:sz w:val="24"/>
          <w:szCs w:val="24"/>
        </w:rPr>
        <w:t>学习状态良好，无留级、退学情况发生。</w:t>
      </w:r>
      <w:r>
        <w:rPr>
          <w:rFonts w:hint="eastAsia" w:ascii="宋体" w:hAnsi="宋体"/>
          <w:bCs/>
          <w:sz w:val="24"/>
          <w:szCs w:val="24"/>
          <w:lang w:val="en-US" w:eastAsia="zh-CN"/>
        </w:rPr>
        <w:t>2020级机械电子本科学生中60人全部</w:t>
      </w:r>
      <w:r>
        <w:rPr>
          <w:rFonts w:hint="eastAsia" w:ascii="宋体" w:hAnsi="宋体"/>
          <w:bCs/>
          <w:sz w:val="24"/>
          <w:szCs w:val="24"/>
        </w:rPr>
        <w:t>取得修电工</w:t>
      </w:r>
      <w:r>
        <w:rPr>
          <w:rFonts w:hint="eastAsia" w:ascii="宋体" w:hAnsi="宋体"/>
          <w:bCs/>
          <w:sz w:val="24"/>
          <w:szCs w:val="24"/>
          <w:lang w:eastAsia="zh-CN"/>
        </w:rPr>
        <w:t>、</w:t>
      </w:r>
      <w:r>
        <w:rPr>
          <w:rFonts w:hint="eastAsia" w:ascii="宋体" w:hAnsi="宋体"/>
          <w:bCs/>
          <w:sz w:val="24"/>
          <w:szCs w:val="24"/>
          <w:lang w:val="en-US" w:eastAsia="zh-CN"/>
        </w:rPr>
        <w:t>铣工</w:t>
      </w:r>
      <w:r>
        <w:rPr>
          <w:rFonts w:hint="eastAsia" w:ascii="宋体" w:hAnsi="宋体"/>
          <w:bCs/>
          <w:sz w:val="24"/>
          <w:szCs w:val="24"/>
        </w:rPr>
        <w:t>证书</w:t>
      </w:r>
      <w:r>
        <w:rPr>
          <w:rFonts w:hint="eastAsia" w:ascii="宋体" w:hAnsi="宋体"/>
          <w:bCs/>
          <w:sz w:val="24"/>
          <w:szCs w:val="24"/>
          <w:lang w:eastAsia="zh-CN"/>
        </w:rPr>
        <w:t>、金属热处理工、计算机辅助设计</w:t>
      </w:r>
      <w:r>
        <w:rPr>
          <w:rFonts w:hint="eastAsia" w:ascii="宋体" w:hAnsi="宋体"/>
          <w:bCs/>
          <w:sz w:val="24"/>
          <w:szCs w:val="24"/>
          <w:lang w:val="en-US" w:eastAsia="zh-CN"/>
        </w:rPr>
        <w:t>等证书，2021级67名同学中有30名同学取得相关职业资格证书，剩余37名同学计划11月份取证。</w:t>
      </w:r>
    </w:p>
    <w:p>
      <w:pPr>
        <w:spacing w:line="400" w:lineRule="exact"/>
        <w:ind w:firstLine="480" w:firstLineChars="200"/>
        <w:rPr>
          <w:rFonts w:hint="eastAsia" w:ascii="宋体" w:hAnsi="宋体"/>
          <w:bCs/>
          <w:sz w:val="24"/>
          <w:szCs w:val="24"/>
          <w:lang w:val="en-US" w:eastAsia="zh-CN"/>
        </w:rPr>
      </w:pPr>
      <w:r>
        <w:rPr>
          <w:rFonts w:hint="eastAsia" w:ascii="宋体" w:hAnsi="宋体"/>
          <w:bCs/>
          <w:sz w:val="24"/>
          <w:szCs w:val="24"/>
        </w:rPr>
        <w:t>学校鼓励学生参加各类、各级技能大赛，并结合专业社团的训练培养，截至目前共有</w:t>
      </w:r>
      <w:r>
        <w:rPr>
          <w:rFonts w:hint="eastAsia" w:ascii="宋体" w:hAnsi="宋体"/>
          <w:bCs/>
          <w:sz w:val="24"/>
          <w:szCs w:val="24"/>
          <w:lang w:val="en-US" w:eastAsia="zh-CN"/>
        </w:rPr>
        <w:t>10余人次</w:t>
      </w:r>
      <w:r>
        <w:rPr>
          <w:rFonts w:hint="eastAsia" w:ascii="宋体" w:hAnsi="宋体"/>
          <w:bCs/>
          <w:sz w:val="24"/>
          <w:szCs w:val="24"/>
        </w:rPr>
        <w:t>获奖。</w:t>
      </w:r>
      <w:r>
        <w:rPr>
          <w:rFonts w:hint="eastAsia" w:ascii="宋体" w:hAnsi="宋体"/>
          <w:bCs/>
          <w:sz w:val="24"/>
          <w:szCs w:val="24"/>
          <w:lang w:val="en-US" w:eastAsia="zh-CN"/>
        </w:rPr>
        <w:t>2020级</w:t>
      </w:r>
      <w:r>
        <w:rPr>
          <w:rFonts w:hint="eastAsia" w:ascii="宋体" w:hAnsi="宋体"/>
          <w:bCs/>
          <w:sz w:val="24"/>
          <w:szCs w:val="24"/>
          <w:lang w:eastAsia="zh-CN"/>
        </w:rPr>
        <w:t>同学</w:t>
      </w:r>
      <w:r>
        <w:rPr>
          <w:rFonts w:hint="eastAsia" w:ascii="宋体" w:hAnsi="宋体"/>
          <w:bCs/>
          <w:sz w:val="24"/>
          <w:szCs w:val="24"/>
          <w:lang w:val="en-US" w:eastAsia="zh-CN"/>
        </w:rPr>
        <w:t>王杰</w:t>
      </w:r>
      <w:r>
        <w:rPr>
          <w:rFonts w:hint="eastAsia" w:ascii="宋体" w:hAnsi="宋体"/>
          <w:bCs/>
          <w:sz w:val="24"/>
          <w:szCs w:val="24"/>
          <w:lang w:eastAsia="zh-CN"/>
        </w:rPr>
        <w:t>获得</w:t>
      </w:r>
      <w:r>
        <w:rPr>
          <w:rFonts w:hint="eastAsia" w:ascii="宋体" w:hAnsi="宋体"/>
          <w:bCs/>
          <w:sz w:val="24"/>
          <w:szCs w:val="24"/>
          <w:lang w:val="en-US" w:eastAsia="zh-CN"/>
        </w:rPr>
        <w:t>中国商业经济学会培训分会主办的“2021年第二届全国大学生组织管理能力竞技活动”二等奖，获得由中国软件行业协会培训中心主办的“2021年第四届全国大学生计算机技能应用大赛”优秀奖，获得“全国高校抗疫科普知识传播志愿行动”贡献奖，2021级学生杜金彤获得第八届中国国际“互联网+”大学生创新创业大赛青年红色筑梦之旅赛道天津赛区“银奖”第八届中国国际“互联网+”大学生创新创业大赛职教赛道天津赛区“银奖”，第八届中国国际“互联网+”大学生创新创业大赛职教赛道天津赛区“铜奖”，2022年“挑战杯”中国银行天津市大学生创业计划竞赛“铜奖”，“六百光年杯”第十五届全国大学生节能减排社会实践与科技竞赛全国“三等奖”。</w:t>
      </w:r>
    </w:p>
    <w:p>
      <w:pPr>
        <w:spacing w:line="240" w:lineRule="auto"/>
        <w:ind w:firstLine="480" w:firstLineChars="200"/>
        <w:jc w:val="center"/>
        <w:rPr>
          <w:sz w:val="24"/>
          <w:szCs w:val="24"/>
        </w:rPr>
      </w:pPr>
      <w:r>
        <w:rPr>
          <w:sz w:val="24"/>
          <w:szCs w:val="24"/>
        </w:rPr>
        <w:drawing>
          <wp:inline distT="0" distB="0" distL="114300" distR="114300">
            <wp:extent cx="2406015" cy="1525270"/>
            <wp:effectExtent l="9525" t="9525" r="22860" b="27305"/>
            <wp:docPr id="21" name="图片 20"/>
            <wp:cNvGraphicFramePr/>
            <a:graphic xmlns:a="http://schemas.openxmlformats.org/drawingml/2006/main">
              <a:graphicData uri="http://schemas.openxmlformats.org/drawingml/2006/picture">
                <pic:pic xmlns:pic="http://schemas.openxmlformats.org/drawingml/2006/picture">
                  <pic:nvPicPr>
                    <pic:cNvPr id="21" name="图片 20"/>
                    <pic:cNvPicPr/>
                  </pic:nvPicPr>
                  <pic:blipFill>
                    <a:blip r:embed="rId8"/>
                    <a:srcRect t="4240" b="2384"/>
                    <a:stretch>
                      <a:fillRect/>
                    </a:stretch>
                  </pic:blipFill>
                  <pic:spPr>
                    <a:xfrm>
                      <a:off x="0" y="0"/>
                      <a:ext cx="2406015" cy="1525270"/>
                    </a:xfrm>
                    <a:prstGeom prst="rect">
                      <a:avLst/>
                    </a:prstGeom>
                    <a:ln>
                      <a:solidFill>
                        <a:srgbClr val="FF0000"/>
                      </a:solidFill>
                    </a:ln>
                  </pic:spPr>
                </pic:pic>
              </a:graphicData>
            </a:graphic>
          </wp:inline>
        </w:drawing>
      </w:r>
      <w:r>
        <w:rPr>
          <w:sz w:val="24"/>
          <w:szCs w:val="24"/>
        </w:rPr>
        <w:drawing>
          <wp:inline distT="0" distB="0" distL="114300" distR="114300">
            <wp:extent cx="2458720" cy="1533525"/>
            <wp:effectExtent l="9525" t="9525" r="27305" b="1905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a:stretch>
                      <a:fillRect/>
                    </a:stretch>
                  </pic:blipFill>
                  <pic:spPr>
                    <a:xfrm>
                      <a:off x="0" y="0"/>
                      <a:ext cx="2458720" cy="1533525"/>
                    </a:xfrm>
                    <a:prstGeom prst="rect">
                      <a:avLst/>
                    </a:prstGeom>
                    <a:noFill/>
                    <a:ln>
                      <a:solidFill>
                        <a:srgbClr val="FF0000"/>
                      </a:solidFill>
                    </a:ln>
                  </pic:spPr>
                </pic:pic>
              </a:graphicData>
            </a:graphic>
          </wp:inline>
        </w:drawing>
      </w:r>
    </w:p>
    <w:p>
      <w:pPr>
        <w:spacing w:line="240" w:lineRule="auto"/>
        <w:ind w:firstLine="480" w:firstLineChars="200"/>
        <w:jc w:val="center"/>
        <w:rPr>
          <w:rFonts w:hint="eastAsia" w:ascii="宋体" w:hAnsi="宋体"/>
          <w:bCs/>
          <w:sz w:val="24"/>
          <w:szCs w:val="24"/>
          <w:lang w:val="en-US" w:eastAsia="zh-CN"/>
        </w:rPr>
      </w:pPr>
      <w:r>
        <w:rPr>
          <w:sz w:val="24"/>
          <w:szCs w:val="24"/>
        </w:rPr>
        <w:drawing>
          <wp:inline distT="0" distB="0" distL="114300" distR="114300">
            <wp:extent cx="3270885" cy="2040890"/>
            <wp:effectExtent l="9525" t="9525" r="15240" b="2603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stretch>
                      <a:fillRect/>
                    </a:stretch>
                  </pic:blipFill>
                  <pic:spPr>
                    <a:xfrm>
                      <a:off x="0" y="0"/>
                      <a:ext cx="3270885" cy="2040890"/>
                    </a:xfrm>
                    <a:prstGeom prst="rect">
                      <a:avLst/>
                    </a:prstGeom>
                    <a:noFill/>
                    <a:ln>
                      <a:solidFill>
                        <a:srgbClr val="FF0000"/>
                      </a:solidFill>
                    </a:ln>
                  </pic:spPr>
                </pic:pic>
              </a:graphicData>
            </a:graphic>
          </wp:inline>
        </w:drawing>
      </w:r>
    </w:p>
    <w:p>
      <w:pPr>
        <w:spacing w:line="240" w:lineRule="auto"/>
        <w:ind w:firstLine="480" w:firstLineChars="200"/>
        <w:jc w:val="center"/>
        <w:rPr>
          <w:rFonts w:hint="eastAsia" w:ascii="宋体" w:hAnsi="宋体"/>
          <w:bCs/>
          <w:sz w:val="24"/>
          <w:szCs w:val="24"/>
          <w:lang w:val="en-US" w:eastAsia="zh-CN"/>
        </w:rPr>
      </w:pPr>
      <w:r>
        <w:rPr>
          <w:sz w:val="24"/>
          <w:szCs w:val="24"/>
        </w:rPr>
        <w:drawing>
          <wp:inline distT="0" distB="0" distL="114300" distR="114300">
            <wp:extent cx="1296035" cy="1727835"/>
            <wp:effectExtent l="9525" t="9525" r="27940" b="15240"/>
            <wp:docPr id="15" name="图片 14"/>
            <wp:cNvGraphicFramePr/>
            <a:graphic xmlns:a="http://schemas.openxmlformats.org/drawingml/2006/main">
              <a:graphicData uri="http://schemas.openxmlformats.org/drawingml/2006/picture">
                <pic:pic xmlns:pic="http://schemas.openxmlformats.org/drawingml/2006/picture">
                  <pic:nvPicPr>
                    <pic:cNvPr id="15" name="图片 14"/>
                    <pic:cNvPicPr/>
                  </pic:nvPicPr>
                  <pic:blipFill>
                    <a:blip r:embed="rId11"/>
                    <a:stretch>
                      <a:fillRect/>
                    </a:stretch>
                  </pic:blipFill>
                  <pic:spPr>
                    <a:xfrm>
                      <a:off x="0" y="0"/>
                      <a:ext cx="1296035" cy="1727835"/>
                    </a:xfrm>
                    <a:prstGeom prst="rect">
                      <a:avLst/>
                    </a:prstGeom>
                    <a:ln>
                      <a:solidFill>
                        <a:srgbClr val="FF0000"/>
                      </a:solidFill>
                    </a:ln>
                  </pic:spPr>
                </pic:pic>
              </a:graphicData>
            </a:graphic>
          </wp:inline>
        </w:drawing>
      </w:r>
      <w:r>
        <w:rPr>
          <w:sz w:val="24"/>
          <w:szCs w:val="24"/>
        </w:rPr>
        <w:drawing>
          <wp:inline distT="0" distB="0" distL="114300" distR="114300">
            <wp:extent cx="1210310" cy="1727835"/>
            <wp:effectExtent l="9525" t="9525" r="18415"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1210310" cy="1727835"/>
                    </a:xfrm>
                    <a:prstGeom prst="rect">
                      <a:avLst/>
                    </a:prstGeom>
                    <a:noFill/>
                    <a:ln>
                      <a:solidFill>
                        <a:srgbClr val="FF0000"/>
                      </a:solidFill>
                    </a:ln>
                  </pic:spPr>
                </pic:pic>
              </a:graphicData>
            </a:graphic>
          </wp:inline>
        </w:drawing>
      </w:r>
      <w:r>
        <w:rPr>
          <w:rFonts w:hint="eastAsia" w:ascii="宋体" w:hAnsi="宋体" w:eastAsia="宋体"/>
          <w:bCs/>
          <w:sz w:val="24"/>
          <w:szCs w:val="24"/>
          <w:lang w:eastAsia="zh-CN"/>
        </w:rPr>
        <w:drawing>
          <wp:inline distT="0" distB="0" distL="114300" distR="114300">
            <wp:extent cx="1221740" cy="1727835"/>
            <wp:effectExtent l="9525" t="9525" r="26035" b="15240"/>
            <wp:docPr id="6" name="图片 6" descr="QQ图片2021102111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11021112853"/>
                    <pic:cNvPicPr>
                      <a:picLocks noChangeAspect="1"/>
                    </pic:cNvPicPr>
                  </pic:nvPicPr>
                  <pic:blipFill>
                    <a:blip r:embed="rId13"/>
                    <a:stretch>
                      <a:fillRect/>
                    </a:stretch>
                  </pic:blipFill>
                  <pic:spPr>
                    <a:xfrm>
                      <a:off x="0" y="0"/>
                      <a:ext cx="1221740" cy="1727835"/>
                    </a:xfrm>
                    <a:prstGeom prst="rect">
                      <a:avLst/>
                    </a:prstGeom>
                    <a:ln>
                      <a:solidFill>
                        <a:srgbClr val="FF0000"/>
                      </a:solidFill>
                    </a:ln>
                  </pic:spPr>
                </pic:pic>
              </a:graphicData>
            </a:graphic>
          </wp:inline>
        </w:drawing>
      </w:r>
    </w:p>
    <w:p>
      <w:pPr>
        <w:spacing w:line="400" w:lineRule="exact"/>
        <w:ind w:firstLine="420" w:firstLineChars="200"/>
        <w:jc w:val="center"/>
        <w:rPr>
          <w:rFonts w:hint="eastAsia" w:ascii="宋体" w:hAnsi="宋体"/>
          <w:bCs/>
          <w:sz w:val="21"/>
          <w:szCs w:val="21"/>
          <w:lang w:val="en-US" w:eastAsia="zh-CN"/>
        </w:rPr>
      </w:pPr>
      <w:r>
        <w:rPr>
          <w:rFonts w:hint="eastAsia" w:ascii="宋体" w:hAnsi="宋体"/>
          <w:bCs/>
          <w:sz w:val="21"/>
          <w:szCs w:val="21"/>
          <w:lang w:eastAsia="zh-CN"/>
        </w:rPr>
        <w:t>图</w:t>
      </w:r>
      <w:r>
        <w:rPr>
          <w:rFonts w:hint="eastAsia" w:ascii="宋体" w:hAnsi="宋体"/>
          <w:bCs/>
          <w:sz w:val="21"/>
          <w:szCs w:val="21"/>
          <w:lang w:val="en-US" w:eastAsia="zh-CN"/>
        </w:rPr>
        <w:t>4 学生获奖部分证书</w:t>
      </w:r>
    </w:p>
    <w:p>
      <w:pPr>
        <w:spacing w:line="400" w:lineRule="exact"/>
        <w:ind w:firstLine="480" w:firstLineChars="200"/>
        <w:rPr>
          <w:rFonts w:hint="eastAsia" w:ascii="宋体" w:hAnsi="宋体"/>
          <w:bCs/>
          <w:sz w:val="24"/>
          <w:szCs w:val="24"/>
          <w:lang w:val="en-US" w:eastAsia="zh-CN"/>
        </w:rPr>
      </w:pPr>
      <w:r>
        <w:rPr>
          <w:rFonts w:hint="eastAsia" w:ascii="宋体" w:hAnsi="宋体"/>
          <w:bCs/>
          <w:sz w:val="24"/>
          <w:szCs w:val="24"/>
          <w:lang w:val="en-US" w:eastAsia="zh-CN"/>
        </w:rPr>
        <w:t>2019级机械工程本科同学房彦臻、张飘扬获得天津市教育委员会主办的“注塑模具优化设计及加工编程技术”三等奖，2020级材料成型及控制工程本科班同学李真获得2022年全国大学生先进成图技术与产品信息建模创新大赛天津赛区三等奖。</w:t>
      </w:r>
    </w:p>
    <w:p>
      <w:pPr>
        <w:spacing w:line="240" w:lineRule="auto"/>
        <w:ind w:firstLine="480" w:firstLineChars="200"/>
        <w:jc w:val="center"/>
        <w:rPr>
          <w:rFonts w:hint="eastAsia" w:ascii="宋体" w:hAnsi="宋体"/>
          <w:bCs/>
          <w:sz w:val="24"/>
          <w:szCs w:val="24"/>
          <w:lang w:val="en-US" w:eastAsia="zh-CN"/>
        </w:rPr>
      </w:pPr>
      <w:r>
        <w:rPr>
          <w:rFonts w:asciiTheme="minorEastAsia" w:hAnsiTheme="minorEastAsia" w:eastAsiaTheme="minorEastAsia"/>
          <w:sz w:val="24"/>
          <w:szCs w:val="24"/>
        </w:rPr>
        <w:drawing>
          <wp:inline distT="0" distB="0" distL="114300" distR="114300">
            <wp:extent cx="2378075" cy="1644015"/>
            <wp:effectExtent l="0" t="0" r="3175"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stretch>
                      <a:fillRect/>
                    </a:stretch>
                  </pic:blipFill>
                  <pic:spPr>
                    <a:xfrm>
                      <a:off x="0" y="0"/>
                      <a:ext cx="2378075" cy="1644015"/>
                    </a:xfrm>
                    <a:prstGeom prst="rect">
                      <a:avLst/>
                    </a:prstGeom>
                    <a:noFill/>
                    <a:ln>
                      <a:noFill/>
                    </a:ln>
                  </pic:spPr>
                </pic:pic>
              </a:graphicData>
            </a:graphic>
          </wp:inline>
        </w:drawing>
      </w:r>
      <w:r>
        <w:rPr>
          <w:rFonts w:asciiTheme="minorEastAsia" w:hAnsiTheme="minorEastAsia" w:eastAsiaTheme="minorEastAsia"/>
          <w:sz w:val="24"/>
          <w:szCs w:val="24"/>
        </w:rPr>
        <w:drawing>
          <wp:inline distT="0" distB="0" distL="114300" distR="114300">
            <wp:extent cx="2486025" cy="1652905"/>
            <wp:effectExtent l="0" t="0" r="9525" b="44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cstate="print"/>
                    <a:stretch>
                      <a:fillRect/>
                    </a:stretch>
                  </pic:blipFill>
                  <pic:spPr>
                    <a:xfrm>
                      <a:off x="0" y="0"/>
                      <a:ext cx="2486025" cy="1652905"/>
                    </a:xfrm>
                    <a:prstGeom prst="rect">
                      <a:avLst/>
                    </a:prstGeom>
                    <a:noFill/>
                    <a:ln>
                      <a:noFill/>
                    </a:ln>
                  </pic:spPr>
                </pic:pic>
              </a:graphicData>
            </a:graphic>
          </wp:inline>
        </w:drawing>
      </w:r>
    </w:p>
    <w:p>
      <w:pPr>
        <w:numPr>
          <w:ilvl w:val="0"/>
          <w:numId w:val="0"/>
        </w:numPr>
        <w:spacing w:line="240" w:lineRule="auto"/>
        <w:jc w:val="center"/>
        <w:rPr>
          <w:rFonts w:ascii="宋体" w:hAnsi="宋体"/>
          <w:bCs/>
          <w:sz w:val="24"/>
          <w:szCs w:val="24"/>
        </w:rPr>
      </w:pPr>
      <w:r>
        <w:rPr>
          <w:rFonts w:asciiTheme="minorEastAsia" w:hAnsiTheme="minorEastAsia" w:eastAsiaTheme="minorEastAsia"/>
          <w:sz w:val="24"/>
          <w:szCs w:val="24"/>
        </w:rPr>
        <w:drawing>
          <wp:inline distT="0" distB="0" distL="114300" distR="114300">
            <wp:extent cx="2354580" cy="1664970"/>
            <wp:effectExtent l="0" t="0" r="762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cstate="print"/>
                    <a:stretch>
                      <a:fillRect/>
                    </a:stretch>
                  </pic:blipFill>
                  <pic:spPr>
                    <a:xfrm>
                      <a:off x="0" y="0"/>
                      <a:ext cx="2354580" cy="1664970"/>
                    </a:xfrm>
                    <a:prstGeom prst="rect">
                      <a:avLst/>
                    </a:prstGeom>
                    <a:noFill/>
                    <a:ln>
                      <a:noFill/>
                    </a:ln>
                  </pic:spPr>
                </pic:pic>
              </a:graphicData>
            </a:graphic>
          </wp:inline>
        </w:drawing>
      </w:r>
      <w:r>
        <w:rPr>
          <w:rFonts w:asciiTheme="minorEastAsia" w:hAnsiTheme="minorEastAsia" w:eastAsiaTheme="minorEastAsia"/>
          <w:sz w:val="24"/>
          <w:szCs w:val="24"/>
        </w:rPr>
        <w:drawing>
          <wp:inline distT="0" distB="0" distL="114300" distR="114300">
            <wp:extent cx="2387600" cy="1668145"/>
            <wp:effectExtent l="0" t="0" r="1270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cstate="print"/>
                    <a:stretch>
                      <a:fillRect/>
                    </a:stretch>
                  </pic:blipFill>
                  <pic:spPr>
                    <a:xfrm>
                      <a:off x="0" y="0"/>
                      <a:ext cx="2387600" cy="1668145"/>
                    </a:xfrm>
                    <a:prstGeom prst="rect">
                      <a:avLst/>
                    </a:prstGeom>
                    <a:noFill/>
                    <a:ln>
                      <a:noFill/>
                    </a:ln>
                  </pic:spPr>
                </pic:pic>
              </a:graphicData>
            </a:graphic>
          </wp:inline>
        </w:drawing>
      </w:r>
    </w:p>
    <w:p>
      <w:pPr>
        <w:numPr>
          <w:ilvl w:val="0"/>
          <w:numId w:val="0"/>
        </w:numPr>
        <w:spacing w:line="240" w:lineRule="auto"/>
        <w:jc w:val="center"/>
        <w:rPr>
          <w:rFonts w:ascii="宋体" w:hAnsi="宋体"/>
          <w:bCs/>
          <w:sz w:val="24"/>
          <w:szCs w:val="24"/>
        </w:rPr>
      </w:pPr>
      <w:r>
        <w:rPr>
          <w:rFonts w:asciiTheme="minorEastAsia" w:hAnsiTheme="minorEastAsia" w:eastAsiaTheme="minorEastAsia"/>
          <w:bCs/>
          <w:sz w:val="24"/>
          <w:szCs w:val="24"/>
        </w:rPr>
        <w:drawing>
          <wp:inline distT="0" distB="0" distL="114300" distR="114300">
            <wp:extent cx="1927225" cy="2721610"/>
            <wp:effectExtent l="0" t="0" r="15875" b="2540"/>
            <wp:docPr id="12" name="图片 12" descr="QQ图片2021102111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211021112853"/>
                    <pic:cNvPicPr>
                      <a:picLocks noChangeAspect="1"/>
                    </pic:cNvPicPr>
                  </pic:nvPicPr>
                  <pic:blipFill>
                    <a:blip r:embed="rId18" cstate="print"/>
                    <a:stretch>
                      <a:fillRect/>
                    </a:stretch>
                  </pic:blipFill>
                  <pic:spPr>
                    <a:xfrm>
                      <a:off x="0" y="0"/>
                      <a:ext cx="1927225" cy="2721610"/>
                    </a:xfrm>
                    <a:prstGeom prst="rect">
                      <a:avLst/>
                    </a:prstGeom>
                  </pic:spPr>
                </pic:pic>
              </a:graphicData>
            </a:graphic>
          </wp:inline>
        </w:drawing>
      </w:r>
      <w:r>
        <w:rPr>
          <w:rFonts w:asciiTheme="minorEastAsia" w:hAnsiTheme="minorEastAsia" w:eastAsiaTheme="minorEastAsia"/>
          <w:bCs/>
          <w:sz w:val="24"/>
          <w:szCs w:val="24"/>
        </w:rPr>
        <w:drawing>
          <wp:inline distT="0" distB="0" distL="114300" distR="114300">
            <wp:extent cx="1918970" cy="2746375"/>
            <wp:effectExtent l="0" t="0" r="5080"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cstate="print"/>
                    <a:stretch>
                      <a:fillRect/>
                    </a:stretch>
                  </pic:blipFill>
                  <pic:spPr>
                    <a:xfrm>
                      <a:off x="0" y="0"/>
                      <a:ext cx="1918970" cy="2746375"/>
                    </a:xfrm>
                    <a:prstGeom prst="rect">
                      <a:avLst/>
                    </a:prstGeom>
                    <a:noFill/>
                    <a:ln>
                      <a:noFill/>
                    </a:ln>
                  </pic:spPr>
                </pic:pic>
              </a:graphicData>
            </a:graphic>
          </wp:inline>
        </w:drawing>
      </w:r>
    </w:p>
    <w:p>
      <w:pPr>
        <w:spacing w:line="400" w:lineRule="exact"/>
        <w:ind w:firstLine="420" w:firstLineChars="200"/>
        <w:jc w:val="center"/>
        <w:rPr>
          <w:rFonts w:hint="eastAsia" w:ascii="宋体" w:hAnsi="宋体"/>
          <w:bCs/>
          <w:sz w:val="21"/>
          <w:szCs w:val="21"/>
          <w:lang w:val="en-US" w:eastAsia="zh-CN"/>
        </w:rPr>
      </w:pPr>
      <w:r>
        <w:rPr>
          <w:rFonts w:hint="eastAsia" w:ascii="宋体" w:hAnsi="宋体"/>
          <w:bCs/>
          <w:sz w:val="21"/>
          <w:szCs w:val="21"/>
          <w:lang w:eastAsia="zh-CN"/>
        </w:rPr>
        <w:t>图</w:t>
      </w:r>
      <w:r>
        <w:rPr>
          <w:rFonts w:hint="eastAsia" w:ascii="宋体" w:hAnsi="宋体"/>
          <w:bCs/>
          <w:sz w:val="21"/>
          <w:szCs w:val="21"/>
          <w:lang w:val="en-US" w:eastAsia="zh-CN"/>
        </w:rPr>
        <w:t xml:space="preserve"> 5 学生获奖部分证书</w:t>
      </w:r>
    </w:p>
    <w:p>
      <w:pPr>
        <w:numPr>
          <w:ilvl w:val="0"/>
          <w:numId w:val="3"/>
        </w:numPr>
        <w:spacing w:line="400" w:lineRule="exact"/>
        <w:ind w:firstLine="480" w:firstLineChars="200"/>
        <w:rPr>
          <w:rFonts w:ascii="宋体" w:hAnsi="宋体"/>
          <w:bCs/>
          <w:sz w:val="24"/>
          <w:szCs w:val="24"/>
          <w:highlight w:val="none"/>
        </w:rPr>
      </w:pPr>
      <w:r>
        <w:rPr>
          <w:rFonts w:hint="eastAsia" w:ascii="宋体" w:hAnsi="宋体"/>
          <w:bCs/>
          <w:sz w:val="24"/>
          <w:szCs w:val="24"/>
          <w:highlight w:val="none"/>
        </w:rPr>
        <w:t>需要解决的问题</w:t>
      </w:r>
    </w:p>
    <w:p>
      <w:pPr>
        <w:numPr>
          <w:ilvl w:val="0"/>
          <w:numId w:val="4"/>
        </w:numPr>
        <w:spacing w:line="400" w:lineRule="exact"/>
        <w:ind w:firstLine="480" w:firstLineChars="200"/>
        <w:rPr>
          <w:rFonts w:hint="eastAsia" w:ascii="宋体" w:hAnsi="宋体"/>
          <w:bCs/>
          <w:sz w:val="24"/>
          <w:szCs w:val="24"/>
          <w:highlight w:val="none"/>
        </w:rPr>
      </w:pPr>
      <w:r>
        <w:rPr>
          <w:rFonts w:hint="eastAsia" w:ascii="宋体" w:hAnsi="宋体"/>
          <w:bCs/>
          <w:sz w:val="24"/>
          <w:szCs w:val="24"/>
          <w:highlight w:val="none"/>
        </w:rPr>
        <w:t>随着联合培养办学经验的提升，为了使现有的资源能够充分发挥作用，</w:t>
      </w:r>
      <w:r>
        <w:rPr>
          <w:rFonts w:hint="eastAsia" w:ascii="宋体" w:hAnsi="宋体"/>
          <w:bCs/>
          <w:sz w:val="24"/>
          <w:szCs w:val="24"/>
          <w:highlight w:val="none"/>
          <w:lang w:val="en-US" w:eastAsia="zh-CN"/>
        </w:rPr>
        <w:t>建议中德应用技术大学平台使用的技术培训更为及时，以便于更多的教师能够熟练的使用，提高效率。</w:t>
      </w:r>
    </w:p>
    <w:p>
      <w:pPr>
        <w:numPr>
          <w:ilvl w:val="0"/>
          <w:numId w:val="4"/>
        </w:numPr>
        <w:spacing w:line="400" w:lineRule="exact"/>
        <w:ind w:firstLine="480" w:firstLineChars="200"/>
        <w:rPr>
          <w:rFonts w:hint="eastAsia" w:ascii="宋体" w:hAnsi="宋体"/>
          <w:bCs/>
          <w:sz w:val="24"/>
          <w:szCs w:val="24"/>
          <w:highlight w:val="none"/>
        </w:rPr>
      </w:pPr>
      <w:r>
        <w:rPr>
          <w:rFonts w:hint="eastAsia" w:ascii="宋体" w:hAnsi="宋体"/>
          <w:bCs/>
          <w:sz w:val="24"/>
          <w:szCs w:val="24"/>
          <w:highlight w:val="none"/>
          <w:lang w:val="en-US" w:eastAsia="zh-CN"/>
        </w:rPr>
        <w:t>随着学生的实践水平不断提升，建议天津</w:t>
      </w:r>
      <w:r>
        <w:rPr>
          <w:rFonts w:hint="eastAsia" w:ascii="宋体" w:hAnsi="宋体"/>
          <w:bCs/>
          <w:sz w:val="24"/>
          <w:szCs w:val="24"/>
          <w:highlight w:val="none"/>
        </w:rPr>
        <w:t>市教委以专项经费立项的方式，予以联合培养院校经费支持，用以</w:t>
      </w:r>
      <w:r>
        <w:rPr>
          <w:rFonts w:hint="eastAsia" w:ascii="宋体" w:hAnsi="宋体"/>
          <w:bCs/>
          <w:sz w:val="24"/>
          <w:szCs w:val="24"/>
          <w:highlight w:val="none"/>
          <w:lang w:val="en-US" w:eastAsia="zh-CN"/>
        </w:rPr>
        <w:t>促进</w:t>
      </w:r>
      <w:r>
        <w:rPr>
          <w:rFonts w:hint="eastAsia" w:ascii="宋体" w:hAnsi="宋体"/>
          <w:bCs/>
          <w:sz w:val="24"/>
          <w:szCs w:val="24"/>
          <w:highlight w:val="none"/>
        </w:rPr>
        <w:t>该专业的成果的积累转化等工作，为天津市现代改革创新示范区建设积累经验和成果。</w:t>
      </w:r>
      <w:bookmarkStart w:id="0" w:name="_GoBack"/>
      <w:bookmarkEnd w:id="0"/>
    </w:p>
    <w:p>
      <w:pPr>
        <w:rPr>
          <w:sz w:val="24"/>
          <w:szCs w:val="24"/>
        </w:rPr>
      </w:pPr>
    </w:p>
    <w:p>
      <w:pPr>
        <w:numPr>
          <w:ilvl w:val="0"/>
          <w:numId w:val="0"/>
        </w:numPr>
        <w:spacing w:line="400" w:lineRule="exact"/>
        <w:rPr>
          <w:rFonts w:hint="eastAsia" w:ascii="宋体" w:hAnsi="宋体"/>
          <w:bCs/>
          <w:szCs w:val="21"/>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lotter">
    <w:altName w:val="Segoe Print"/>
    <w:panose1 w:val="00000000000000000000"/>
    <w:charset w:val="00"/>
    <w:family w:val="roman"/>
    <w:pitch w:val="default"/>
    <w:sig w:usb0="00000000" w:usb1="00000000" w:usb2="0000006E" w:usb3="00000167" w:csb0="BFE819E3" w:csb1="C29AF92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EE7803"/>
    <w:multiLevelType w:val="singleLevel"/>
    <w:tmpl w:val="FFEE7803"/>
    <w:lvl w:ilvl="0" w:tentative="0">
      <w:start w:val="1"/>
      <w:numFmt w:val="decimal"/>
      <w:lvlText w:val="%1."/>
      <w:lvlJc w:val="left"/>
      <w:pPr>
        <w:tabs>
          <w:tab w:val="left" w:pos="312"/>
        </w:tabs>
      </w:pPr>
    </w:lvl>
  </w:abstractNum>
  <w:abstractNum w:abstractNumId="1">
    <w:nsid w:val="543B3616"/>
    <w:multiLevelType w:val="singleLevel"/>
    <w:tmpl w:val="543B3616"/>
    <w:lvl w:ilvl="0" w:tentative="0">
      <w:start w:val="2"/>
      <w:numFmt w:val="chineseCounting"/>
      <w:suff w:val="nothing"/>
      <w:lvlText w:val="%1、"/>
      <w:lvlJc w:val="left"/>
    </w:lvl>
  </w:abstractNum>
  <w:abstractNum w:abstractNumId="2">
    <w:nsid w:val="543DCDB8"/>
    <w:multiLevelType w:val="singleLevel"/>
    <w:tmpl w:val="543DCDB8"/>
    <w:lvl w:ilvl="0" w:tentative="0">
      <w:start w:val="1"/>
      <w:numFmt w:val="decimal"/>
      <w:suff w:val="nothing"/>
      <w:lvlText w:val="%1."/>
      <w:lvlJc w:val="left"/>
    </w:lvl>
  </w:abstractNum>
  <w:abstractNum w:abstractNumId="3">
    <w:nsid w:val="543DD715"/>
    <w:multiLevelType w:val="singleLevel"/>
    <w:tmpl w:val="543DD715"/>
    <w:lvl w:ilvl="0" w:tentative="0">
      <w:start w:val="6"/>
      <w:numFmt w:val="chineseCounting"/>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wMGJhZTMyOTY5YTdlZjYzNWVlMDAwNGEyZTkwYjYifQ=="/>
  </w:docVars>
  <w:rsids>
    <w:rsidRoot w:val="00172A27"/>
    <w:rsid w:val="00002211"/>
    <w:rsid w:val="00010688"/>
    <w:rsid w:val="0002151F"/>
    <w:rsid w:val="00021CEA"/>
    <w:rsid w:val="00033B6B"/>
    <w:rsid w:val="00067810"/>
    <w:rsid w:val="000713E9"/>
    <w:rsid w:val="000A746E"/>
    <w:rsid w:val="00101657"/>
    <w:rsid w:val="00106087"/>
    <w:rsid w:val="00172A27"/>
    <w:rsid w:val="0017743E"/>
    <w:rsid w:val="001944B8"/>
    <w:rsid w:val="001A46AD"/>
    <w:rsid w:val="00203D80"/>
    <w:rsid w:val="00210018"/>
    <w:rsid w:val="00222831"/>
    <w:rsid w:val="0026494F"/>
    <w:rsid w:val="00351490"/>
    <w:rsid w:val="003825F7"/>
    <w:rsid w:val="003D160B"/>
    <w:rsid w:val="00431A4A"/>
    <w:rsid w:val="00431CB7"/>
    <w:rsid w:val="00452E79"/>
    <w:rsid w:val="00470E9B"/>
    <w:rsid w:val="00491BE3"/>
    <w:rsid w:val="004A3C41"/>
    <w:rsid w:val="004E0C3B"/>
    <w:rsid w:val="005131AD"/>
    <w:rsid w:val="00560A6E"/>
    <w:rsid w:val="005832AD"/>
    <w:rsid w:val="005D594D"/>
    <w:rsid w:val="005F452C"/>
    <w:rsid w:val="00607B01"/>
    <w:rsid w:val="00610E9A"/>
    <w:rsid w:val="00622265"/>
    <w:rsid w:val="0067439C"/>
    <w:rsid w:val="006C0C8E"/>
    <w:rsid w:val="006E2C74"/>
    <w:rsid w:val="006E4DF3"/>
    <w:rsid w:val="00762B72"/>
    <w:rsid w:val="00770D5A"/>
    <w:rsid w:val="007A2F8B"/>
    <w:rsid w:val="007E132B"/>
    <w:rsid w:val="00815ADC"/>
    <w:rsid w:val="00822804"/>
    <w:rsid w:val="0083277E"/>
    <w:rsid w:val="00887010"/>
    <w:rsid w:val="00894809"/>
    <w:rsid w:val="00906327"/>
    <w:rsid w:val="00934E4E"/>
    <w:rsid w:val="0094255E"/>
    <w:rsid w:val="009547B7"/>
    <w:rsid w:val="009905CA"/>
    <w:rsid w:val="009B0B28"/>
    <w:rsid w:val="00A01266"/>
    <w:rsid w:val="00A04DD4"/>
    <w:rsid w:val="00A2089C"/>
    <w:rsid w:val="00A2661B"/>
    <w:rsid w:val="00A32111"/>
    <w:rsid w:val="00A322AC"/>
    <w:rsid w:val="00A374A9"/>
    <w:rsid w:val="00A4125E"/>
    <w:rsid w:val="00A42F4E"/>
    <w:rsid w:val="00A62879"/>
    <w:rsid w:val="00A852F9"/>
    <w:rsid w:val="00AD39C2"/>
    <w:rsid w:val="00B22484"/>
    <w:rsid w:val="00B645E2"/>
    <w:rsid w:val="00BD1CD5"/>
    <w:rsid w:val="00BF1C44"/>
    <w:rsid w:val="00BF4841"/>
    <w:rsid w:val="00C40880"/>
    <w:rsid w:val="00C84D6E"/>
    <w:rsid w:val="00C9164C"/>
    <w:rsid w:val="00C92C0D"/>
    <w:rsid w:val="00CD1C74"/>
    <w:rsid w:val="00CD3418"/>
    <w:rsid w:val="00D66386"/>
    <w:rsid w:val="00D702D1"/>
    <w:rsid w:val="00DB775A"/>
    <w:rsid w:val="00DF4342"/>
    <w:rsid w:val="00E00805"/>
    <w:rsid w:val="00E11B84"/>
    <w:rsid w:val="00E124E9"/>
    <w:rsid w:val="00E27467"/>
    <w:rsid w:val="00E929E3"/>
    <w:rsid w:val="00EB4D59"/>
    <w:rsid w:val="00EB5840"/>
    <w:rsid w:val="00EE4961"/>
    <w:rsid w:val="00F22AB3"/>
    <w:rsid w:val="00F33ECA"/>
    <w:rsid w:val="00F81822"/>
    <w:rsid w:val="00FB0270"/>
    <w:rsid w:val="00FB4041"/>
    <w:rsid w:val="026343B3"/>
    <w:rsid w:val="03BD7FB7"/>
    <w:rsid w:val="052F5FB5"/>
    <w:rsid w:val="06DE1F95"/>
    <w:rsid w:val="0A9560DC"/>
    <w:rsid w:val="0EDD1A0C"/>
    <w:rsid w:val="11C4440F"/>
    <w:rsid w:val="123F6706"/>
    <w:rsid w:val="1A112ED6"/>
    <w:rsid w:val="1AB966D4"/>
    <w:rsid w:val="28E64C10"/>
    <w:rsid w:val="290147EA"/>
    <w:rsid w:val="2B846C55"/>
    <w:rsid w:val="2D9A7A2F"/>
    <w:rsid w:val="30073ABF"/>
    <w:rsid w:val="3055178B"/>
    <w:rsid w:val="31FF65FD"/>
    <w:rsid w:val="382379CA"/>
    <w:rsid w:val="382F7C3D"/>
    <w:rsid w:val="416811DC"/>
    <w:rsid w:val="42BF5AEF"/>
    <w:rsid w:val="44BC5833"/>
    <w:rsid w:val="485A4A65"/>
    <w:rsid w:val="4A6070AE"/>
    <w:rsid w:val="4C806B66"/>
    <w:rsid w:val="4CD12295"/>
    <w:rsid w:val="4E9B5322"/>
    <w:rsid w:val="50255F5B"/>
    <w:rsid w:val="5A356BA8"/>
    <w:rsid w:val="5BE876FB"/>
    <w:rsid w:val="5CEA4AA1"/>
    <w:rsid w:val="5E464238"/>
    <w:rsid w:val="5F7C7FDF"/>
    <w:rsid w:val="5F9D40BA"/>
    <w:rsid w:val="604B16AA"/>
    <w:rsid w:val="61EB3E4F"/>
    <w:rsid w:val="62EC2F70"/>
    <w:rsid w:val="62ED7E65"/>
    <w:rsid w:val="6445391A"/>
    <w:rsid w:val="66171246"/>
    <w:rsid w:val="66F95109"/>
    <w:rsid w:val="6B4D15A9"/>
    <w:rsid w:val="6D7D71F1"/>
    <w:rsid w:val="76AF7164"/>
    <w:rsid w:val="7E7F24CA"/>
    <w:rsid w:val="7EF02F3D"/>
    <w:rsid w:val="7FA625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qFormat/>
    <w:uiPriority w:val="0"/>
    <w:pPr>
      <w:jc w:val="left"/>
    </w:pPr>
  </w:style>
  <w:style w:type="paragraph" w:styleId="5">
    <w:name w:val="Body Text"/>
    <w:basedOn w:val="1"/>
    <w:next w:val="1"/>
    <w:qFormat/>
    <w:uiPriority w:val="0"/>
    <w:rPr>
      <w:rFonts w:ascii="Plotter" w:hAnsi="Plotter"/>
      <w:szCs w:val="20"/>
    </w:rPr>
  </w:style>
  <w:style w:type="paragraph" w:styleId="6">
    <w:name w:val="Plain Text"/>
    <w:basedOn w:val="1"/>
    <w:qFormat/>
    <w:uiPriority w:val="0"/>
    <w:rPr>
      <w:rFonts w:ascii="宋体" w:hAnsi="Courier New" w:cs="Courier New"/>
      <w:szCs w:val="21"/>
    </w:rPr>
  </w:style>
  <w:style w:type="paragraph" w:styleId="7">
    <w:name w:val="Balloon Text"/>
    <w:basedOn w:val="1"/>
    <w:semiHidden/>
    <w:qFormat/>
    <w:uiPriority w:val="0"/>
    <w:rPr>
      <w:sz w:val="18"/>
      <w:szCs w:val="18"/>
    </w:rPr>
  </w:style>
  <w:style w:type="paragraph" w:styleId="8">
    <w:name w:val="footer"/>
    <w:basedOn w:val="1"/>
    <w:link w:val="19"/>
    <w:unhideWhenUsed/>
    <w:qFormat/>
    <w:uiPriority w:val="0"/>
    <w:pPr>
      <w:tabs>
        <w:tab w:val="center" w:pos="4153"/>
        <w:tab w:val="right" w:pos="8306"/>
      </w:tabs>
      <w:snapToGrid w:val="0"/>
      <w:jc w:val="left"/>
    </w:pPr>
    <w:rPr>
      <w:sz w:val="18"/>
      <w:szCs w:val="18"/>
    </w:rPr>
  </w:style>
  <w:style w:type="paragraph" w:styleId="9">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1">
    <w:name w:val="Normal (Web)"/>
    <w:basedOn w:val="1"/>
    <w:qFormat/>
    <w:uiPriority w:val="0"/>
    <w:pPr>
      <w:spacing w:beforeAutospacing="1" w:afterAutospacing="1"/>
      <w:jc w:val="left"/>
    </w:pPr>
    <w:rPr>
      <w:rFonts w:ascii="Calibri" w:hAnsi="Calibri" w:eastAsia="宋体"/>
      <w:kern w:val="0"/>
      <w:sz w:val="24"/>
    </w:rPr>
  </w:style>
  <w:style w:type="paragraph" w:styleId="12">
    <w:name w:val="annotation subject"/>
    <w:basedOn w:val="4"/>
    <w:next w:val="4"/>
    <w:semiHidden/>
    <w:qFormat/>
    <w:uiPriority w:val="0"/>
    <w:rPr>
      <w:b/>
      <w:bCs/>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basedOn w:val="15"/>
    <w:semiHidden/>
    <w:qFormat/>
    <w:uiPriority w:val="0"/>
    <w:rPr>
      <w:sz w:val="21"/>
      <w:szCs w:val="21"/>
    </w:rPr>
  </w:style>
  <w:style w:type="paragraph" w:customStyle="1" w:styleId="17">
    <w:name w:val="小节标题"/>
    <w:basedOn w:val="1"/>
    <w:next w:val="1"/>
    <w:qFormat/>
    <w:uiPriority w:val="0"/>
    <w:pPr>
      <w:widowControl/>
      <w:spacing w:before="175" w:after="102" w:line="566" w:lineRule="atLeast"/>
      <w:textAlignment w:val="baseline"/>
    </w:pPr>
    <w:rPr>
      <w:rFonts w:eastAsia="黑体"/>
      <w:color w:val="000000"/>
      <w:kern w:val="0"/>
      <w:szCs w:val="21"/>
      <w:u w:color="000000"/>
    </w:rPr>
  </w:style>
  <w:style w:type="character" w:customStyle="1" w:styleId="18">
    <w:name w:val="页眉 Char"/>
    <w:basedOn w:val="15"/>
    <w:link w:val="9"/>
    <w:qFormat/>
    <w:uiPriority w:val="0"/>
    <w:rPr>
      <w:kern w:val="2"/>
      <w:sz w:val="18"/>
      <w:szCs w:val="18"/>
    </w:rPr>
  </w:style>
  <w:style w:type="character" w:customStyle="1" w:styleId="19">
    <w:name w:val="页脚 Char"/>
    <w:basedOn w:val="15"/>
    <w:link w:val="8"/>
    <w:qFormat/>
    <w:uiPriority w:val="0"/>
    <w:rPr>
      <w:kern w:val="2"/>
      <w:sz w:val="18"/>
      <w:szCs w:val="18"/>
    </w:rPr>
  </w:style>
  <w:style w:type="paragraph" w:styleId="2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8</Pages>
  <Words>5074</Words>
  <Characters>5349</Characters>
  <Lines>126</Lines>
  <Paragraphs>35</Paragraphs>
  <TotalTime>33</TotalTime>
  <ScaleCrop>false</ScaleCrop>
  <LinksUpToDate>false</LinksUpToDate>
  <CharactersWithSpaces>5396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2019-10-23T05:45:00Z</dcterms:created>
  <dc:creator>ibm</dc:creator>
  <cp:lastModifiedBy>丁冉</cp:lastModifiedBy>
  <cp:lastPrinted>2022-10-28T02:39:00Z</cp:lastPrinted>
  <dcterms:modified xsi:type="dcterms:W3CDTF">2023-10-31T09:22:05Z</dcterms:modified>
  <dc:title>本科生占全日制在校生总数的比例、教师数量及结构</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45CA6B1013C249DB98673C59D93ED8A9_13</vt:lpwstr>
  </property>
</Properties>
</file>